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54BF" w14:textId="6009D2FF" w:rsidR="00CE468B" w:rsidRPr="009F3C37" w:rsidRDefault="008E402A" w:rsidP="00BE59AB">
      <w:pPr>
        <w:jc w:val="center"/>
        <w:rPr>
          <w:b/>
          <w:bCs/>
          <w:color w:val="000000" w:themeColor="text1"/>
        </w:rPr>
      </w:pPr>
      <w:r w:rsidRPr="009F3C37">
        <w:rPr>
          <w:b/>
          <w:bCs/>
          <w:color w:val="000000" w:themeColor="text1"/>
        </w:rPr>
        <w:t xml:space="preserve">SUPREME COURT CASE NO. </w:t>
      </w:r>
      <w:commentRangeStart w:id="0"/>
      <w:commentRangeStart w:id="1"/>
      <w:r w:rsidRPr="009F3C37">
        <w:rPr>
          <w:b/>
          <w:bCs/>
          <w:color w:val="000000" w:themeColor="text1"/>
        </w:rPr>
        <w:t>TK</w:t>
      </w:r>
      <w:r w:rsidR="00CE468B" w:rsidRPr="009F3C37">
        <w:rPr>
          <w:b/>
          <w:bCs/>
          <w:color w:val="000000" w:themeColor="text1"/>
        </w:rPr>
        <w:br/>
      </w:r>
      <w:commentRangeEnd w:id="0"/>
      <w:r w:rsidR="009F3C37" w:rsidRPr="009F3C37">
        <w:rPr>
          <w:rStyle w:val="CommentReference"/>
          <w:b/>
          <w:bCs/>
          <w:color w:val="000000" w:themeColor="text1"/>
          <w:sz w:val="24"/>
          <w:szCs w:val="24"/>
        </w:rPr>
        <w:commentReference w:id="0"/>
      </w:r>
      <w:commentRangeEnd w:id="1"/>
      <w:r w:rsidR="00495099" w:rsidRPr="009F3C37">
        <w:rPr>
          <w:rStyle w:val="CommentReference"/>
          <w:b/>
          <w:bCs/>
          <w:color w:val="000000" w:themeColor="text1"/>
          <w:sz w:val="24"/>
          <w:szCs w:val="24"/>
        </w:rPr>
        <w:commentReference w:id="1"/>
      </w:r>
    </w:p>
    <w:p w14:paraId="47F851E5" w14:textId="09BA1B88" w:rsidR="008E402A" w:rsidRPr="009F3C37" w:rsidRDefault="00CE468B" w:rsidP="00BE59AB">
      <w:pPr>
        <w:jc w:val="center"/>
        <w:rPr>
          <w:b/>
          <w:bCs/>
          <w:color w:val="000000" w:themeColor="text1"/>
        </w:rPr>
      </w:pPr>
      <w:r w:rsidRPr="009F3C37">
        <w:rPr>
          <w:b/>
          <w:bCs/>
          <w:color w:val="000000" w:themeColor="text1"/>
        </w:rPr>
        <w:t>DISTRICT COURT No. 08-2023-CV-02189</w:t>
      </w:r>
      <w:r w:rsidR="008E402A" w:rsidRPr="009F3C37">
        <w:rPr>
          <w:b/>
          <w:bCs/>
          <w:color w:val="000000" w:themeColor="text1"/>
        </w:rPr>
        <w:br/>
      </w:r>
      <w:r w:rsidR="008E402A" w:rsidRPr="009F3C37">
        <w:rPr>
          <w:b/>
          <w:bCs/>
          <w:color w:val="000000" w:themeColor="text1"/>
        </w:rPr>
        <w:br/>
        <w:t>IN THE SUPREME COURT</w:t>
      </w:r>
      <w:r w:rsidR="008E402A" w:rsidRPr="009F3C37">
        <w:rPr>
          <w:b/>
          <w:bCs/>
          <w:color w:val="000000" w:themeColor="text1"/>
        </w:rPr>
        <w:br/>
        <w:t>STATE OF NORTH DAKOTA</w:t>
      </w:r>
    </w:p>
    <w:p w14:paraId="1C6A9D34" w14:textId="77777777" w:rsidR="008E402A" w:rsidRPr="009F3C37" w:rsidRDefault="008E402A" w:rsidP="00BE59AB">
      <w:pPr>
        <w:jc w:val="center"/>
        <w:rPr>
          <w:b/>
          <w:bCs/>
          <w:color w:val="000000" w:themeColor="text1"/>
        </w:rPr>
      </w:pPr>
    </w:p>
    <w:p w14:paraId="16596214" w14:textId="486D70F3" w:rsidR="00EC7D0E" w:rsidRPr="009F3C37" w:rsidRDefault="00EC7D0E" w:rsidP="00BE59AB">
      <w:pPr>
        <w:rPr>
          <w:color w:val="000000" w:themeColor="text1"/>
        </w:rPr>
      </w:pPr>
      <w:r w:rsidRPr="009F3C37">
        <w:rPr>
          <w:color w:val="000000" w:themeColor="text1"/>
        </w:rPr>
        <w:t>T.D., by and through his parents, Devon Dolney and Robert Dolney, DEVON DOLNEY, an individual, ROBERT DOLNEY, an individual, PAMELA ROE, by and through her parents, Peter Roe and Paula Roe, PETER ROE, an individual, PAULA ROE, an individual, JAMES DOE, by and through his parents, John Doe and Jane Doe, JOHN DOE, an individual, JANE DOE, an individual, and DR. LUIS CASAS, an individual, on behalf of himself and his patients,</w:t>
      </w:r>
    </w:p>
    <w:p w14:paraId="26B65D9D" w14:textId="77777777" w:rsidR="008E402A" w:rsidRPr="009F3C37" w:rsidRDefault="008E402A" w:rsidP="00BE59AB">
      <w:pPr>
        <w:jc w:val="right"/>
        <w:rPr>
          <w:color w:val="000000" w:themeColor="text1"/>
        </w:rPr>
      </w:pPr>
      <w:r w:rsidRPr="009F3C37">
        <w:rPr>
          <w:color w:val="000000" w:themeColor="text1"/>
        </w:rPr>
        <w:t>Plaintiffs-Appellees,</w:t>
      </w:r>
    </w:p>
    <w:p w14:paraId="3D3211BF" w14:textId="77777777" w:rsidR="008E402A" w:rsidRPr="009F3C37" w:rsidRDefault="008E402A" w:rsidP="00BE59AB">
      <w:pPr>
        <w:jc w:val="center"/>
        <w:rPr>
          <w:color w:val="000000" w:themeColor="text1"/>
        </w:rPr>
      </w:pPr>
      <w:r w:rsidRPr="009F3C37">
        <w:rPr>
          <w:color w:val="000000" w:themeColor="text1"/>
        </w:rPr>
        <w:t>vs.</w:t>
      </w:r>
    </w:p>
    <w:p w14:paraId="44DFB1B1" w14:textId="77777777" w:rsidR="008E402A" w:rsidRPr="009F3C37" w:rsidRDefault="008E402A" w:rsidP="00BE59AB">
      <w:pPr>
        <w:jc w:val="center"/>
        <w:rPr>
          <w:color w:val="000000" w:themeColor="text1"/>
        </w:rPr>
      </w:pPr>
    </w:p>
    <w:p w14:paraId="3B3F7F8C" w14:textId="2DAA4754" w:rsidR="002D7D8C" w:rsidRPr="009F3C37" w:rsidRDefault="002D7D8C" w:rsidP="00BE59AB">
      <w:pPr>
        <w:rPr>
          <w:color w:val="000000" w:themeColor="text1"/>
        </w:rPr>
      </w:pPr>
      <w:r w:rsidRPr="009F3C37">
        <w:rPr>
          <w:color w:val="000000" w:themeColor="text1"/>
        </w:rPr>
        <w:t>DREW H. WRIGLEY, in his official capacity as Attorney General for the State of North Dakota, KIMBERLEE JO HEGVIK, in her official capacity as the State’s Attorney for Cass County, JULIE LAWYER, in her official capacity as the State’s Attorney for Burleigh County, and AMANDA ENGELSTAD, in her official capacity as the State’s Attorney for Stark County,</w:t>
      </w:r>
    </w:p>
    <w:p w14:paraId="16822BB0" w14:textId="77777777" w:rsidR="008E402A" w:rsidRPr="009F3C37" w:rsidRDefault="008E402A" w:rsidP="00BE59AB">
      <w:pPr>
        <w:jc w:val="right"/>
        <w:rPr>
          <w:color w:val="000000" w:themeColor="text1"/>
        </w:rPr>
      </w:pPr>
      <w:r w:rsidRPr="009F3C37">
        <w:rPr>
          <w:color w:val="000000" w:themeColor="text1"/>
        </w:rPr>
        <w:t>Defendants-Appellants</w:t>
      </w:r>
    </w:p>
    <w:p w14:paraId="1AD2B9C2" w14:textId="77777777" w:rsidR="008E402A" w:rsidRPr="009F3C37" w:rsidRDefault="008E402A" w:rsidP="00BE59AB">
      <w:pPr>
        <w:jc w:val="right"/>
        <w:rPr>
          <w:color w:val="000000" w:themeColor="text1"/>
        </w:rPr>
      </w:pPr>
    </w:p>
    <w:p w14:paraId="212D1182" w14:textId="1B119ECE" w:rsidR="008E402A" w:rsidRPr="009F3C37" w:rsidRDefault="008E402A" w:rsidP="00BE59AB">
      <w:pPr>
        <w:jc w:val="center"/>
        <w:rPr>
          <w:b/>
          <w:bCs/>
          <w:color w:val="000000" w:themeColor="text1"/>
        </w:rPr>
      </w:pPr>
      <w:r w:rsidRPr="009F3C37">
        <w:rPr>
          <w:b/>
          <w:bCs/>
          <w:color w:val="000000" w:themeColor="text1"/>
        </w:rPr>
        <w:t xml:space="preserve">BRIEF OF </w:t>
      </w:r>
      <w:r w:rsidRPr="009F3C37">
        <w:rPr>
          <w:b/>
          <w:bCs/>
          <w:i/>
          <w:iCs/>
          <w:color w:val="000000" w:themeColor="text1"/>
        </w:rPr>
        <w:t xml:space="preserve">AMICI CURIAE </w:t>
      </w:r>
      <w:r w:rsidRPr="009F3C37">
        <w:rPr>
          <w:b/>
          <w:bCs/>
          <w:color w:val="000000" w:themeColor="text1"/>
        </w:rPr>
        <w:t>BRENNAN CENTER FOR JUSTICE AT NYU SCHOOL OF LAW</w:t>
      </w:r>
      <w:r w:rsidR="001C485C" w:rsidRPr="009F3C37">
        <w:rPr>
          <w:b/>
          <w:bCs/>
          <w:color w:val="000000" w:themeColor="text1"/>
        </w:rPr>
        <w:t xml:space="preserve"> AND </w:t>
      </w:r>
      <w:r w:rsidR="00656D2A" w:rsidRPr="009F3C37">
        <w:rPr>
          <w:b/>
          <w:bCs/>
          <w:color w:val="000000" w:themeColor="text1"/>
        </w:rPr>
        <w:t>PROFESSOR ROBERT F. WILLIAMS</w:t>
      </w:r>
    </w:p>
    <w:p w14:paraId="59056D62" w14:textId="77777777" w:rsidR="008E402A" w:rsidRPr="009F3C37" w:rsidRDefault="008E402A" w:rsidP="00BE59AB">
      <w:pPr>
        <w:jc w:val="center"/>
        <w:rPr>
          <w:b/>
          <w:bCs/>
          <w:color w:val="000000" w:themeColor="text1"/>
        </w:rPr>
      </w:pPr>
    </w:p>
    <w:p w14:paraId="40423B8B" w14:textId="07E54F05" w:rsidR="008E402A" w:rsidRPr="009F3C37" w:rsidRDefault="008E402A" w:rsidP="00BE59AB">
      <w:pPr>
        <w:jc w:val="center"/>
        <w:rPr>
          <w:b/>
          <w:bCs/>
          <w:color w:val="000000" w:themeColor="text1"/>
        </w:rPr>
      </w:pPr>
      <w:r w:rsidRPr="009F3C37">
        <w:rPr>
          <w:b/>
          <w:bCs/>
          <w:color w:val="000000" w:themeColor="text1"/>
        </w:rPr>
        <w:t>IN SUPPORT OF PLAINTIFF-APPELLEE</w:t>
      </w:r>
    </w:p>
    <w:p w14:paraId="47F30F66" w14:textId="77777777" w:rsidR="008E402A" w:rsidRPr="009F3C37" w:rsidRDefault="008E402A" w:rsidP="00BE59AB">
      <w:pPr>
        <w:jc w:val="center"/>
        <w:rPr>
          <w:b/>
          <w:bCs/>
          <w:color w:val="000000" w:themeColor="text1"/>
        </w:rPr>
      </w:pPr>
    </w:p>
    <w:p w14:paraId="52A295F8" w14:textId="77777777" w:rsidR="008E402A" w:rsidRPr="009F3C37" w:rsidRDefault="008E402A" w:rsidP="00BE59AB">
      <w:pPr>
        <w:rPr>
          <w:b/>
          <w:bCs/>
          <w:color w:val="000000" w:themeColor="text1"/>
        </w:rPr>
      </w:pPr>
      <w:r w:rsidRPr="009F3C37">
        <w:rPr>
          <w:b/>
          <w:bCs/>
          <w:color w:val="000000" w:themeColor="text1"/>
        </w:rPr>
        <w:t>[TK Signature Blocks]</w:t>
      </w:r>
      <w:r w:rsidRPr="009F3C37">
        <w:rPr>
          <w:b/>
          <w:bCs/>
          <w:color w:val="000000" w:themeColor="text1"/>
        </w:rPr>
        <w:tab/>
      </w:r>
      <w:r w:rsidRPr="009F3C37">
        <w:rPr>
          <w:b/>
          <w:bCs/>
          <w:color w:val="000000" w:themeColor="text1"/>
        </w:rPr>
        <w:tab/>
      </w:r>
      <w:r w:rsidRPr="009F3C37">
        <w:rPr>
          <w:b/>
          <w:bCs/>
          <w:color w:val="000000" w:themeColor="text1"/>
        </w:rPr>
        <w:tab/>
      </w:r>
      <w:r w:rsidRPr="009F3C37">
        <w:rPr>
          <w:b/>
          <w:bCs/>
          <w:color w:val="000000" w:themeColor="text1"/>
        </w:rPr>
        <w:tab/>
      </w:r>
      <w:r w:rsidRPr="009F3C37">
        <w:rPr>
          <w:b/>
          <w:bCs/>
          <w:color w:val="000000" w:themeColor="text1"/>
        </w:rPr>
        <w:tab/>
        <w:t>[TK Signature Blocks]</w:t>
      </w:r>
    </w:p>
    <w:p w14:paraId="426023BC" w14:textId="77777777" w:rsidR="008E402A" w:rsidRPr="009F3C37" w:rsidRDefault="008E402A" w:rsidP="00BE59AB">
      <w:pPr>
        <w:rPr>
          <w:b/>
          <w:bCs/>
          <w:color w:val="000000" w:themeColor="text1"/>
        </w:rPr>
      </w:pPr>
    </w:p>
    <w:p w14:paraId="7D47B890" w14:textId="77777777" w:rsidR="008E402A" w:rsidRPr="009F3C37" w:rsidRDefault="008E402A" w:rsidP="00BE59AB">
      <w:pPr>
        <w:jc w:val="center"/>
        <w:rPr>
          <w:color w:val="000000" w:themeColor="text1"/>
        </w:rPr>
      </w:pPr>
    </w:p>
    <w:p w14:paraId="43806147" w14:textId="77777777" w:rsidR="008E402A" w:rsidRPr="009F3C37" w:rsidRDefault="008E402A" w:rsidP="00BE59AB">
      <w:pPr>
        <w:rPr>
          <w:color w:val="000000" w:themeColor="text1"/>
        </w:rPr>
      </w:pPr>
    </w:p>
    <w:p w14:paraId="2F20A91A" w14:textId="77777777" w:rsidR="008E402A" w:rsidRPr="009F3C37" w:rsidRDefault="008E402A" w:rsidP="00BE59AB">
      <w:pPr>
        <w:jc w:val="center"/>
        <w:rPr>
          <w:b/>
          <w:bCs/>
          <w:color w:val="000000" w:themeColor="text1"/>
        </w:rPr>
      </w:pPr>
    </w:p>
    <w:p w14:paraId="130408CA" w14:textId="77777777" w:rsidR="008E402A" w:rsidRPr="009F3C37" w:rsidRDefault="008E402A" w:rsidP="00BE59AB">
      <w:pPr>
        <w:rPr>
          <w:b/>
          <w:bCs/>
          <w:color w:val="000000" w:themeColor="text1"/>
          <w:u w:val="single"/>
        </w:rPr>
      </w:pPr>
      <w:r w:rsidRPr="009F3C37">
        <w:rPr>
          <w:b/>
          <w:bCs/>
          <w:color w:val="000000" w:themeColor="text1"/>
          <w:u w:val="single"/>
        </w:rPr>
        <w:br w:type="page"/>
      </w:r>
    </w:p>
    <w:p w14:paraId="1CD1E5A8" w14:textId="77777777" w:rsidR="008E402A" w:rsidRPr="009F3C37" w:rsidRDefault="008E402A" w:rsidP="00B768F9">
      <w:pPr>
        <w:spacing w:line="480" w:lineRule="auto"/>
        <w:jc w:val="center"/>
        <w:rPr>
          <w:b/>
          <w:bCs/>
          <w:color w:val="000000" w:themeColor="text1"/>
          <w:u w:val="single"/>
        </w:rPr>
      </w:pPr>
      <w:r w:rsidRPr="009F3C37">
        <w:rPr>
          <w:b/>
          <w:bCs/>
          <w:color w:val="000000" w:themeColor="text1"/>
          <w:u w:val="single"/>
        </w:rPr>
        <w:lastRenderedPageBreak/>
        <w:t>TABLE OF CONTENTS</w:t>
      </w:r>
    </w:p>
    <w:sdt>
      <w:sdtPr>
        <w:rPr>
          <w:rFonts w:eastAsiaTheme="minorHAnsi" w:cs="Times New Roman"/>
          <w:b w:val="0"/>
          <w:bCs w:val="0"/>
          <w:color w:val="auto"/>
          <w:kern w:val="2"/>
          <w:sz w:val="24"/>
          <w:szCs w:val="24"/>
          <w14:ligatures w14:val="standardContextual"/>
        </w:rPr>
        <w:id w:val="746856950"/>
        <w:docPartObj>
          <w:docPartGallery w:val="Table of Contents"/>
          <w:docPartUnique/>
        </w:docPartObj>
      </w:sdtPr>
      <w:sdtEndPr>
        <w:rPr>
          <w:rFonts w:eastAsia="Times New Roman"/>
          <w:noProof/>
          <w:kern w:val="0"/>
          <w14:ligatures w14:val="none"/>
        </w:rPr>
      </w:sdtEndPr>
      <w:sdtContent>
        <w:p w14:paraId="3B642151" w14:textId="560BCD31" w:rsidR="008E402A" w:rsidRPr="009F3C37" w:rsidRDefault="008E402A" w:rsidP="0019323D">
          <w:pPr>
            <w:pStyle w:val="TOCHeading"/>
            <w:spacing w:before="0" w:line="480" w:lineRule="auto"/>
            <w:rPr>
              <w:rFonts w:cs="Times New Roman"/>
              <w:sz w:val="24"/>
              <w:szCs w:val="24"/>
            </w:rPr>
          </w:pPr>
        </w:p>
        <w:p w14:paraId="5BBC27D2" w14:textId="45EA585D" w:rsidR="0019323D" w:rsidRPr="009F3C37" w:rsidRDefault="008E402A" w:rsidP="0019323D">
          <w:pPr>
            <w:pStyle w:val="TOC1"/>
            <w:tabs>
              <w:tab w:val="right" w:leader="dot" w:pos="8630"/>
            </w:tabs>
            <w:spacing w:line="480" w:lineRule="auto"/>
            <w:rPr>
              <w:rFonts w:eastAsiaTheme="minorEastAsia"/>
              <w:b w:val="0"/>
              <w:bCs w:val="0"/>
              <w:i w:val="0"/>
              <w:iCs w:val="0"/>
              <w:noProof/>
              <w:kern w:val="2"/>
              <w14:ligatures w14:val="standardContextual"/>
            </w:rPr>
          </w:pPr>
          <w:r w:rsidRPr="009F3C37">
            <w:rPr>
              <w:b w:val="0"/>
              <w:bCs w:val="0"/>
              <w:color w:val="000000" w:themeColor="text1"/>
            </w:rPr>
            <w:fldChar w:fldCharType="begin"/>
          </w:r>
          <w:r w:rsidRPr="009F3C37">
            <w:rPr>
              <w:color w:val="000000" w:themeColor="text1"/>
            </w:rPr>
            <w:instrText xml:space="preserve"> TOC \o "1-3" \h \z \u </w:instrText>
          </w:r>
          <w:r w:rsidRPr="009F3C37">
            <w:rPr>
              <w:b w:val="0"/>
              <w:bCs w:val="0"/>
              <w:color w:val="000000" w:themeColor="text1"/>
            </w:rPr>
            <w:fldChar w:fldCharType="separate"/>
          </w:r>
          <w:hyperlink w:anchor="_Toc225513541" w:history="1">
            <w:r w:rsidR="0019323D" w:rsidRPr="009F3C37">
              <w:rPr>
                <w:rStyle w:val="Hyperlink"/>
                <w:noProof/>
              </w:rPr>
              <w:t>TABLE OF AUTHORITIES (2 Pages)</w:t>
            </w:r>
            <w:r w:rsidR="0019323D" w:rsidRPr="009F3C37">
              <w:rPr>
                <w:noProof/>
                <w:webHidden/>
              </w:rPr>
              <w:tab/>
            </w:r>
            <w:r w:rsidR="0019323D" w:rsidRPr="009F3C37">
              <w:rPr>
                <w:noProof/>
                <w:webHidden/>
              </w:rPr>
              <w:fldChar w:fldCharType="begin"/>
            </w:r>
            <w:r w:rsidR="0019323D" w:rsidRPr="009F3C37">
              <w:rPr>
                <w:noProof/>
                <w:webHidden/>
              </w:rPr>
              <w:instrText xml:space="preserve"> PAGEREF _Toc225513541 \h </w:instrText>
            </w:r>
            <w:r w:rsidR="0019323D" w:rsidRPr="009F3C37">
              <w:rPr>
                <w:noProof/>
                <w:webHidden/>
              </w:rPr>
            </w:r>
            <w:r w:rsidR="0019323D" w:rsidRPr="009F3C37">
              <w:rPr>
                <w:noProof/>
                <w:webHidden/>
              </w:rPr>
              <w:fldChar w:fldCharType="separate"/>
            </w:r>
            <w:r w:rsidR="0019323D" w:rsidRPr="009F3C37">
              <w:rPr>
                <w:noProof/>
                <w:webHidden/>
              </w:rPr>
              <w:t>2</w:t>
            </w:r>
            <w:r w:rsidR="0019323D" w:rsidRPr="009F3C37">
              <w:rPr>
                <w:noProof/>
                <w:webHidden/>
              </w:rPr>
              <w:fldChar w:fldCharType="end"/>
            </w:r>
          </w:hyperlink>
        </w:p>
        <w:p w14:paraId="5C508286" w14:textId="7D736B61" w:rsidR="0019323D" w:rsidRPr="009F3C37" w:rsidRDefault="0019323D" w:rsidP="0019323D">
          <w:pPr>
            <w:pStyle w:val="TOC1"/>
            <w:tabs>
              <w:tab w:val="right" w:leader="dot" w:pos="8630"/>
            </w:tabs>
            <w:spacing w:line="480" w:lineRule="auto"/>
            <w:rPr>
              <w:rFonts w:eastAsiaTheme="minorEastAsia"/>
              <w:b w:val="0"/>
              <w:bCs w:val="0"/>
              <w:i w:val="0"/>
              <w:iCs w:val="0"/>
              <w:noProof/>
              <w:kern w:val="2"/>
              <w14:ligatures w14:val="standardContextual"/>
            </w:rPr>
          </w:pPr>
          <w:hyperlink w:anchor="_Toc225513542" w:history="1">
            <w:r w:rsidRPr="009F3C37">
              <w:rPr>
                <w:rStyle w:val="Hyperlink"/>
                <w:noProof/>
              </w:rPr>
              <w:t>STATEMENT OF INTEREST OF AMICI CURIAE</w:t>
            </w:r>
            <w:r w:rsidRPr="009F3C37">
              <w:rPr>
                <w:noProof/>
                <w:webHidden/>
              </w:rPr>
              <w:tab/>
            </w:r>
            <w:r w:rsidRPr="009F3C37">
              <w:rPr>
                <w:noProof/>
                <w:webHidden/>
              </w:rPr>
              <w:fldChar w:fldCharType="begin"/>
            </w:r>
            <w:r w:rsidRPr="009F3C37">
              <w:rPr>
                <w:noProof/>
                <w:webHidden/>
              </w:rPr>
              <w:instrText xml:space="preserve"> PAGEREF _Toc225513542 \h </w:instrText>
            </w:r>
            <w:r w:rsidRPr="009F3C37">
              <w:rPr>
                <w:noProof/>
                <w:webHidden/>
              </w:rPr>
            </w:r>
            <w:r w:rsidRPr="009F3C37">
              <w:rPr>
                <w:noProof/>
                <w:webHidden/>
              </w:rPr>
              <w:fldChar w:fldCharType="separate"/>
            </w:r>
            <w:r w:rsidRPr="009F3C37">
              <w:rPr>
                <w:noProof/>
                <w:webHidden/>
              </w:rPr>
              <w:t>4</w:t>
            </w:r>
            <w:r w:rsidRPr="009F3C37">
              <w:rPr>
                <w:noProof/>
                <w:webHidden/>
              </w:rPr>
              <w:fldChar w:fldCharType="end"/>
            </w:r>
          </w:hyperlink>
        </w:p>
        <w:p w14:paraId="17AC235A" w14:textId="15DBBFBF" w:rsidR="0019323D" w:rsidRPr="009F3C37" w:rsidRDefault="0019323D" w:rsidP="0019323D">
          <w:pPr>
            <w:pStyle w:val="TOC1"/>
            <w:tabs>
              <w:tab w:val="right" w:leader="dot" w:pos="8630"/>
            </w:tabs>
            <w:spacing w:line="480" w:lineRule="auto"/>
            <w:rPr>
              <w:rFonts w:eastAsiaTheme="minorEastAsia"/>
              <w:b w:val="0"/>
              <w:bCs w:val="0"/>
              <w:i w:val="0"/>
              <w:iCs w:val="0"/>
              <w:noProof/>
              <w:kern w:val="2"/>
              <w14:ligatures w14:val="standardContextual"/>
            </w:rPr>
          </w:pPr>
          <w:hyperlink w:anchor="_Toc225513543" w:history="1">
            <w:r w:rsidRPr="009F3C37">
              <w:rPr>
                <w:rStyle w:val="Hyperlink"/>
                <w:noProof/>
              </w:rPr>
              <w:t>SUMMARY OF ARGUMENT</w:t>
            </w:r>
            <w:r w:rsidRPr="009F3C37">
              <w:rPr>
                <w:noProof/>
                <w:webHidden/>
              </w:rPr>
              <w:tab/>
            </w:r>
            <w:r w:rsidRPr="009F3C37">
              <w:rPr>
                <w:noProof/>
                <w:webHidden/>
              </w:rPr>
              <w:fldChar w:fldCharType="begin"/>
            </w:r>
            <w:r w:rsidRPr="009F3C37">
              <w:rPr>
                <w:noProof/>
                <w:webHidden/>
              </w:rPr>
              <w:instrText xml:space="preserve"> PAGEREF _Toc225513543 \h </w:instrText>
            </w:r>
            <w:r w:rsidRPr="009F3C37">
              <w:rPr>
                <w:noProof/>
                <w:webHidden/>
              </w:rPr>
            </w:r>
            <w:r w:rsidRPr="009F3C37">
              <w:rPr>
                <w:noProof/>
                <w:webHidden/>
              </w:rPr>
              <w:fldChar w:fldCharType="separate"/>
            </w:r>
            <w:r w:rsidRPr="009F3C37">
              <w:rPr>
                <w:noProof/>
                <w:webHidden/>
              </w:rPr>
              <w:t>5</w:t>
            </w:r>
            <w:r w:rsidRPr="009F3C37">
              <w:rPr>
                <w:noProof/>
                <w:webHidden/>
              </w:rPr>
              <w:fldChar w:fldCharType="end"/>
            </w:r>
          </w:hyperlink>
        </w:p>
        <w:p w14:paraId="41D4F0E9" w14:textId="05A5E5E5" w:rsidR="0019323D" w:rsidRPr="009F3C37" w:rsidRDefault="0019323D" w:rsidP="0019323D">
          <w:pPr>
            <w:pStyle w:val="TOC1"/>
            <w:tabs>
              <w:tab w:val="right" w:leader="dot" w:pos="8630"/>
            </w:tabs>
            <w:spacing w:line="480" w:lineRule="auto"/>
            <w:rPr>
              <w:rFonts w:eastAsiaTheme="minorEastAsia"/>
              <w:b w:val="0"/>
              <w:bCs w:val="0"/>
              <w:i w:val="0"/>
              <w:iCs w:val="0"/>
              <w:noProof/>
              <w:kern w:val="2"/>
              <w14:ligatures w14:val="standardContextual"/>
            </w:rPr>
          </w:pPr>
          <w:hyperlink w:anchor="_Toc225513544" w:history="1">
            <w:r w:rsidRPr="009F3C37">
              <w:rPr>
                <w:rStyle w:val="Hyperlink"/>
                <w:noProof/>
              </w:rPr>
              <w:t>ARGUMENT</w:t>
            </w:r>
            <w:r w:rsidRPr="009F3C37">
              <w:rPr>
                <w:noProof/>
                <w:webHidden/>
              </w:rPr>
              <w:tab/>
            </w:r>
            <w:r w:rsidRPr="009F3C37">
              <w:rPr>
                <w:noProof/>
                <w:webHidden/>
              </w:rPr>
              <w:fldChar w:fldCharType="begin"/>
            </w:r>
            <w:r w:rsidRPr="009F3C37">
              <w:rPr>
                <w:noProof/>
                <w:webHidden/>
              </w:rPr>
              <w:instrText xml:space="preserve"> PAGEREF _Toc225513544 \h </w:instrText>
            </w:r>
            <w:r w:rsidRPr="009F3C37">
              <w:rPr>
                <w:noProof/>
                <w:webHidden/>
              </w:rPr>
            </w:r>
            <w:r w:rsidRPr="009F3C37">
              <w:rPr>
                <w:noProof/>
                <w:webHidden/>
              </w:rPr>
              <w:fldChar w:fldCharType="separate"/>
            </w:r>
            <w:r w:rsidRPr="009F3C37">
              <w:rPr>
                <w:noProof/>
                <w:webHidden/>
              </w:rPr>
              <w:t>8</w:t>
            </w:r>
            <w:r w:rsidRPr="009F3C37">
              <w:rPr>
                <w:noProof/>
                <w:webHidden/>
              </w:rPr>
              <w:fldChar w:fldCharType="end"/>
            </w:r>
          </w:hyperlink>
        </w:p>
        <w:p w14:paraId="212B03D9" w14:textId="3B63C470" w:rsidR="0019323D" w:rsidRPr="009F3C37" w:rsidRDefault="0019323D" w:rsidP="0019323D">
          <w:pPr>
            <w:pStyle w:val="TOC1"/>
            <w:tabs>
              <w:tab w:val="left" w:pos="480"/>
              <w:tab w:val="right" w:leader="dot" w:pos="8630"/>
            </w:tabs>
            <w:spacing w:line="480" w:lineRule="auto"/>
            <w:rPr>
              <w:rFonts w:eastAsiaTheme="minorEastAsia"/>
              <w:b w:val="0"/>
              <w:bCs w:val="0"/>
              <w:i w:val="0"/>
              <w:iCs w:val="0"/>
              <w:noProof/>
              <w:kern w:val="2"/>
              <w14:ligatures w14:val="standardContextual"/>
            </w:rPr>
          </w:pPr>
          <w:hyperlink w:anchor="_Toc225513545" w:history="1">
            <w:r w:rsidRPr="009F3C37">
              <w:rPr>
                <w:rStyle w:val="Hyperlink"/>
                <w:noProof/>
              </w:rPr>
              <w:t>I.</w:t>
            </w:r>
            <w:r w:rsidRPr="009F3C37">
              <w:rPr>
                <w:rFonts w:eastAsiaTheme="minorEastAsia"/>
                <w:b w:val="0"/>
                <w:bCs w:val="0"/>
                <w:i w:val="0"/>
                <w:iCs w:val="0"/>
                <w:noProof/>
                <w:kern w:val="2"/>
                <w14:ligatures w14:val="standardContextual"/>
              </w:rPr>
              <w:tab/>
            </w:r>
            <w:r w:rsidRPr="009F3C37">
              <w:rPr>
                <w:rStyle w:val="Hyperlink"/>
                <w:noProof/>
              </w:rPr>
              <w:t>The Decision Below Erroneously Applied a Presumption that Aligns North Dakota Constitutional Protections with Federal Constitutional Protections</w:t>
            </w:r>
            <w:r w:rsidRPr="009F3C37">
              <w:rPr>
                <w:noProof/>
                <w:webHidden/>
              </w:rPr>
              <w:tab/>
            </w:r>
            <w:r w:rsidRPr="009F3C37">
              <w:rPr>
                <w:noProof/>
                <w:webHidden/>
              </w:rPr>
              <w:fldChar w:fldCharType="begin"/>
            </w:r>
            <w:r w:rsidRPr="009F3C37">
              <w:rPr>
                <w:noProof/>
                <w:webHidden/>
              </w:rPr>
              <w:instrText xml:space="preserve"> PAGEREF _Toc225513545 \h </w:instrText>
            </w:r>
            <w:r w:rsidRPr="009F3C37">
              <w:rPr>
                <w:noProof/>
                <w:webHidden/>
              </w:rPr>
            </w:r>
            <w:r w:rsidRPr="009F3C37">
              <w:rPr>
                <w:noProof/>
                <w:webHidden/>
              </w:rPr>
              <w:fldChar w:fldCharType="separate"/>
            </w:r>
            <w:r w:rsidRPr="009F3C37">
              <w:rPr>
                <w:noProof/>
                <w:webHidden/>
              </w:rPr>
              <w:t>8</w:t>
            </w:r>
            <w:r w:rsidRPr="009F3C37">
              <w:rPr>
                <w:noProof/>
                <w:webHidden/>
              </w:rPr>
              <w:fldChar w:fldCharType="end"/>
            </w:r>
          </w:hyperlink>
        </w:p>
        <w:p w14:paraId="0A3F5036" w14:textId="6058A672" w:rsidR="0019323D" w:rsidRPr="009F3C37" w:rsidRDefault="0019323D" w:rsidP="0019323D">
          <w:pPr>
            <w:pStyle w:val="TOC2"/>
            <w:tabs>
              <w:tab w:val="left" w:pos="720"/>
              <w:tab w:val="right" w:leader="dot" w:pos="8630"/>
            </w:tabs>
            <w:spacing w:line="480" w:lineRule="auto"/>
            <w:rPr>
              <w:rFonts w:eastAsiaTheme="minorEastAsia"/>
              <w:b w:val="0"/>
              <w:bCs w:val="0"/>
              <w:noProof/>
              <w:kern w:val="2"/>
              <w:sz w:val="24"/>
              <w:szCs w:val="24"/>
              <w14:ligatures w14:val="standardContextual"/>
            </w:rPr>
          </w:pPr>
          <w:hyperlink w:anchor="_Toc225513547" w:history="1">
            <w:r w:rsidRPr="009F3C37">
              <w:rPr>
                <w:rStyle w:val="Hyperlink"/>
                <w:noProof/>
              </w:rPr>
              <w:t>a.</w:t>
            </w:r>
            <w:r w:rsidRPr="009F3C37">
              <w:rPr>
                <w:rFonts w:eastAsiaTheme="minorEastAsia"/>
                <w:b w:val="0"/>
                <w:bCs w:val="0"/>
                <w:noProof/>
                <w:kern w:val="2"/>
                <w:sz w:val="24"/>
                <w:szCs w:val="24"/>
                <w14:ligatures w14:val="standardContextual"/>
              </w:rPr>
              <w:tab/>
            </w:r>
            <w:r w:rsidRPr="009F3C37">
              <w:rPr>
                <w:rStyle w:val="Hyperlink"/>
                <w:noProof/>
              </w:rPr>
              <w:t>Presumptive Alignment with Federal Constitutional Protections Disregards This Court’s Instruction to Interpret North Dakota’s Constitution Holistically</w:t>
            </w:r>
            <w:r w:rsidRPr="009F3C37">
              <w:rPr>
                <w:noProof/>
                <w:webHidden/>
              </w:rPr>
              <w:tab/>
            </w:r>
            <w:r w:rsidRPr="009F3C37">
              <w:rPr>
                <w:noProof/>
                <w:webHidden/>
              </w:rPr>
              <w:fldChar w:fldCharType="begin"/>
            </w:r>
            <w:r w:rsidRPr="009F3C37">
              <w:rPr>
                <w:noProof/>
                <w:webHidden/>
              </w:rPr>
              <w:instrText xml:space="preserve"> PAGEREF _Toc225513547 \h </w:instrText>
            </w:r>
            <w:r w:rsidRPr="009F3C37">
              <w:rPr>
                <w:noProof/>
                <w:webHidden/>
              </w:rPr>
            </w:r>
            <w:r w:rsidRPr="009F3C37">
              <w:rPr>
                <w:noProof/>
                <w:webHidden/>
              </w:rPr>
              <w:fldChar w:fldCharType="separate"/>
            </w:r>
            <w:r w:rsidRPr="009F3C37">
              <w:rPr>
                <w:noProof/>
                <w:webHidden/>
              </w:rPr>
              <w:t>8</w:t>
            </w:r>
            <w:r w:rsidRPr="009F3C37">
              <w:rPr>
                <w:noProof/>
                <w:webHidden/>
              </w:rPr>
              <w:fldChar w:fldCharType="end"/>
            </w:r>
          </w:hyperlink>
        </w:p>
        <w:p w14:paraId="39F4D9D2" w14:textId="5B281ACC" w:rsidR="0019323D" w:rsidRPr="009F3C37" w:rsidRDefault="0019323D" w:rsidP="0019323D">
          <w:pPr>
            <w:pStyle w:val="TOC2"/>
            <w:tabs>
              <w:tab w:val="left" w:pos="720"/>
              <w:tab w:val="right" w:leader="dot" w:pos="8630"/>
            </w:tabs>
            <w:spacing w:line="480" w:lineRule="auto"/>
            <w:rPr>
              <w:rFonts w:eastAsiaTheme="minorEastAsia"/>
              <w:b w:val="0"/>
              <w:bCs w:val="0"/>
              <w:noProof/>
              <w:kern w:val="2"/>
              <w:sz w:val="24"/>
              <w:szCs w:val="24"/>
              <w14:ligatures w14:val="standardContextual"/>
            </w:rPr>
          </w:pPr>
          <w:hyperlink w:anchor="_Toc225513548" w:history="1">
            <w:r w:rsidRPr="009F3C37">
              <w:rPr>
                <w:rStyle w:val="Hyperlink"/>
                <w:noProof/>
              </w:rPr>
              <w:t>b.</w:t>
            </w:r>
            <w:r w:rsidRPr="009F3C37">
              <w:rPr>
                <w:rFonts w:eastAsiaTheme="minorEastAsia"/>
                <w:b w:val="0"/>
                <w:bCs w:val="0"/>
                <w:noProof/>
                <w:kern w:val="2"/>
                <w:sz w:val="24"/>
                <w:szCs w:val="24"/>
                <w14:ligatures w14:val="standardContextual"/>
              </w:rPr>
              <w:tab/>
            </w:r>
            <w:r w:rsidRPr="009F3C37">
              <w:rPr>
                <w:rStyle w:val="Hyperlink"/>
                <w:noProof/>
                <w:shd w:val="clear" w:color="auto" w:fill="FFFFFF"/>
              </w:rPr>
              <w:t>North Dakota’s Constitutional History Counsels Against Presumptive Alignment with Federal Constitutional Protections</w:t>
            </w:r>
            <w:r w:rsidRPr="009F3C37">
              <w:rPr>
                <w:noProof/>
                <w:webHidden/>
              </w:rPr>
              <w:tab/>
            </w:r>
            <w:r w:rsidRPr="009F3C37">
              <w:rPr>
                <w:noProof/>
                <w:webHidden/>
              </w:rPr>
              <w:fldChar w:fldCharType="begin"/>
            </w:r>
            <w:r w:rsidRPr="009F3C37">
              <w:rPr>
                <w:noProof/>
                <w:webHidden/>
              </w:rPr>
              <w:instrText xml:space="preserve"> PAGEREF _Toc225513548 \h </w:instrText>
            </w:r>
            <w:r w:rsidRPr="009F3C37">
              <w:rPr>
                <w:noProof/>
                <w:webHidden/>
              </w:rPr>
            </w:r>
            <w:r w:rsidRPr="009F3C37">
              <w:rPr>
                <w:noProof/>
                <w:webHidden/>
              </w:rPr>
              <w:fldChar w:fldCharType="separate"/>
            </w:r>
            <w:r w:rsidRPr="009F3C37">
              <w:rPr>
                <w:noProof/>
                <w:webHidden/>
              </w:rPr>
              <w:t>10</w:t>
            </w:r>
            <w:r w:rsidRPr="009F3C37">
              <w:rPr>
                <w:noProof/>
                <w:webHidden/>
              </w:rPr>
              <w:fldChar w:fldCharType="end"/>
            </w:r>
          </w:hyperlink>
        </w:p>
        <w:p w14:paraId="01551B98" w14:textId="0261A41B" w:rsidR="0019323D" w:rsidRPr="009F3C37" w:rsidRDefault="0019323D" w:rsidP="0019323D">
          <w:pPr>
            <w:pStyle w:val="TOC1"/>
            <w:tabs>
              <w:tab w:val="left" w:pos="720"/>
              <w:tab w:val="right" w:leader="dot" w:pos="8630"/>
            </w:tabs>
            <w:spacing w:line="480" w:lineRule="auto"/>
            <w:rPr>
              <w:rFonts w:eastAsiaTheme="minorEastAsia"/>
              <w:b w:val="0"/>
              <w:bCs w:val="0"/>
              <w:i w:val="0"/>
              <w:iCs w:val="0"/>
              <w:noProof/>
              <w:kern w:val="2"/>
              <w14:ligatures w14:val="standardContextual"/>
            </w:rPr>
          </w:pPr>
          <w:hyperlink w:anchor="_Toc225513549" w:history="1">
            <w:r w:rsidRPr="009F3C37">
              <w:rPr>
                <w:rStyle w:val="Hyperlink"/>
                <w:noProof/>
              </w:rPr>
              <w:t>II.</w:t>
            </w:r>
            <w:r w:rsidRPr="009F3C37">
              <w:rPr>
                <w:rFonts w:eastAsiaTheme="minorEastAsia"/>
                <w:b w:val="0"/>
                <w:bCs w:val="0"/>
                <w:i w:val="0"/>
                <w:iCs w:val="0"/>
                <w:noProof/>
                <w:kern w:val="2"/>
                <w14:ligatures w14:val="standardContextual"/>
              </w:rPr>
              <w:tab/>
            </w:r>
            <w:r w:rsidRPr="009F3C37">
              <w:rPr>
                <w:rStyle w:val="Hyperlink"/>
                <w:noProof/>
              </w:rPr>
              <w:t>Independent Interpretation of State Constitutions Preserves Federalism Better than Presumptive Alignment with Federal Constitutional Law</w:t>
            </w:r>
            <w:r w:rsidRPr="009F3C37">
              <w:rPr>
                <w:noProof/>
                <w:webHidden/>
              </w:rPr>
              <w:tab/>
            </w:r>
            <w:r w:rsidRPr="009F3C37">
              <w:rPr>
                <w:noProof/>
                <w:webHidden/>
              </w:rPr>
              <w:fldChar w:fldCharType="begin"/>
            </w:r>
            <w:r w:rsidRPr="009F3C37">
              <w:rPr>
                <w:noProof/>
                <w:webHidden/>
              </w:rPr>
              <w:instrText xml:space="preserve"> PAGEREF _Toc225513549 \h </w:instrText>
            </w:r>
            <w:r w:rsidRPr="009F3C37">
              <w:rPr>
                <w:noProof/>
                <w:webHidden/>
              </w:rPr>
            </w:r>
            <w:r w:rsidRPr="009F3C37">
              <w:rPr>
                <w:noProof/>
                <w:webHidden/>
              </w:rPr>
              <w:fldChar w:fldCharType="separate"/>
            </w:r>
            <w:r w:rsidRPr="009F3C37">
              <w:rPr>
                <w:noProof/>
                <w:webHidden/>
              </w:rPr>
              <w:t>12</w:t>
            </w:r>
            <w:r w:rsidRPr="009F3C37">
              <w:rPr>
                <w:noProof/>
                <w:webHidden/>
              </w:rPr>
              <w:fldChar w:fldCharType="end"/>
            </w:r>
          </w:hyperlink>
        </w:p>
        <w:p w14:paraId="39104294" w14:textId="3B8FFCDA" w:rsidR="0019323D" w:rsidRPr="009F3C37" w:rsidRDefault="0019323D" w:rsidP="0019323D">
          <w:pPr>
            <w:pStyle w:val="TOC2"/>
            <w:tabs>
              <w:tab w:val="left" w:pos="720"/>
              <w:tab w:val="right" w:leader="dot" w:pos="8630"/>
            </w:tabs>
            <w:spacing w:line="480" w:lineRule="auto"/>
            <w:rPr>
              <w:rFonts w:eastAsiaTheme="minorEastAsia"/>
              <w:b w:val="0"/>
              <w:bCs w:val="0"/>
              <w:noProof/>
              <w:kern w:val="2"/>
              <w:sz w:val="24"/>
              <w:szCs w:val="24"/>
              <w14:ligatures w14:val="standardContextual"/>
            </w:rPr>
          </w:pPr>
          <w:hyperlink w:anchor="_Toc225513550" w:history="1">
            <w:r w:rsidRPr="009F3C37">
              <w:rPr>
                <w:rStyle w:val="Hyperlink"/>
                <w:noProof/>
              </w:rPr>
              <w:t>a.</w:t>
            </w:r>
            <w:r w:rsidRPr="009F3C37">
              <w:rPr>
                <w:rFonts w:eastAsiaTheme="minorEastAsia"/>
                <w:b w:val="0"/>
                <w:bCs w:val="0"/>
                <w:noProof/>
                <w:kern w:val="2"/>
                <w:sz w:val="24"/>
                <w:szCs w:val="24"/>
                <w14:ligatures w14:val="standardContextual"/>
              </w:rPr>
              <w:tab/>
            </w:r>
            <w:r w:rsidRPr="009F3C37">
              <w:rPr>
                <w:rStyle w:val="Hyperlink"/>
                <w:noProof/>
              </w:rPr>
              <w:t>Adopting Federal Constitutional Analysis Imports Federal Prudential Concerns that Do Not Apply When State Courts Adjudicate State Constitutional Claims</w:t>
            </w:r>
            <w:r w:rsidRPr="009F3C37">
              <w:rPr>
                <w:noProof/>
                <w:webHidden/>
              </w:rPr>
              <w:tab/>
            </w:r>
            <w:r w:rsidRPr="009F3C37">
              <w:rPr>
                <w:noProof/>
                <w:webHidden/>
              </w:rPr>
              <w:fldChar w:fldCharType="begin"/>
            </w:r>
            <w:r w:rsidRPr="009F3C37">
              <w:rPr>
                <w:noProof/>
                <w:webHidden/>
              </w:rPr>
              <w:instrText xml:space="preserve"> PAGEREF _Toc225513550 \h </w:instrText>
            </w:r>
            <w:r w:rsidRPr="009F3C37">
              <w:rPr>
                <w:noProof/>
                <w:webHidden/>
              </w:rPr>
            </w:r>
            <w:r w:rsidRPr="009F3C37">
              <w:rPr>
                <w:noProof/>
                <w:webHidden/>
              </w:rPr>
              <w:fldChar w:fldCharType="separate"/>
            </w:r>
            <w:r w:rsidRPr="009F3C37">
              <w:rPr>
                <w:noProof/>
                <w:webHidden/>
              </w:rPr>
              <w:t>13</w:t>
            </w:r>
            <w:r w:rsidRPr="009F3C37">
              <w:rPr>
                <w:noProof/>
                <w:webHidden/>
              </w:rPr>
              <w:fldChar w:fldCharType="end"/>
            </w:r>
          </w:hyperlink>
        </w:p>
        <w:p w14:paraId="3FD6EFA0" w14:textId="50EFDDA2" w:rsidR="0019323D" w:rsidRPr="009F3C37" w:rsidRDefault="0019323D" w:rsidP="0019323D">
          <w:pPr>
            <w:pStyle w:val="TOC2"/>
            <w:tabs>
              <w:tab w:val="left" w:pos="720"/>
              <w:tab w:val="right" w:leader="dot" w:pos="8630"/>
            </w:tabs>
            <w:spacing w:line="480" w:lineRule="auto"/>
            <w:rPr>
              <w:rFonts w:eastAsiaTheme="minorEastAsia"/>
              <w:b w:val="0"/>
              <w:bCs w:val="0"/>
              <w:noProof/>
              <w:kern w:val="2"/>
              <w:sz w:val="24"/>
              <w:szCs w:val="24"/>
              <w14:ligatures w14:val="standardContextual"/>
            </w:rPr>
          </w:pPr>
          <w:hyperlink w:anchor="_Toc225513552" w:history="1">
            <w:r w:rsidRPr="009F3C37">
              <w:rPr>
                <w:rStyle w:val="Hyperlink"/>
                <w:noProof/>
              </w:rPr>
              <w:t>b.</w:t>
            </w:r>
            <w:r w:rsidRPr="009F3C37">
              <w:rPr>
                <w:rFonts w:eastAsiaTheme="minorEastAsia"/>
                <w:b w:val="0"/>
                <w:bCs w:val="0"/>
                <w:noProof/>
                <w:kern w:val="2"/>
                <w:sz w:val="24"/>
                <w:szCs w:val="24"/>
                <w14:ligatures w14:val="standardContextual"/>
              </w:rPr>
              <w:tab/>
            </w:r>
            <w:r w:rsidRPr="009F3C37">
              <w:rPr>
                <w:rStyle w:val="Hyperlink"/>
                <w:noProof/>
              </w:rPr>
              <w:t>Independent State Constitutional Interpretation Preserves Stability When Federal Constitutional Doctrine Shifts</w:t>
            </w:r>
            <w:r w:rsidRPr="009F3C37">
              <w:rPr>
                <w:noProof/>
                <w:webHidden/>
              </w:rPr>
              <w:tab/>
            </w:r>
            <w:r w:rsidRPr="009F3C37">
              <w:rPr>
                <w:noProof/>
                <w:webHidden/>
              </w:rPr>
              <w:fldChar w:fldCharType="begin"/>
            </w:r>
            <w:r w:rsidRPr="009F3C37">
              <w:rPr>
                <w:noProof/>
                <w:webHidden/>
              </w:rPr>
              <w:instrText xml:space="preserve"> PAGEREF _Toc225513552 \h </w:instrText>
            </w:r>
            <w:r w:rsidRPr="009F3C37">
              <w:rPr>
                <w:noProof/>
                <w:webHidden/>
              </w:rPr>
            </w:r>
            <w:r w:rsidRPr="009F3C37">
              <w:rPr>
                <w:noProof/>
                <w:webHidden/>
              </w:rPr>
              <w:fldChar w:fldCharType="separate"/>
            </w:r>
            <w:r w:rsidRPr="009F3C37">
              <w:rPr>
                <w:noProof/>
                <w:webHidden/>
              </w:rPr>
              <w:t>15</w:t>
            </w:r>
            <w:r w:rsidRPr="009F3C37">
              <w:rPr>
                <w:noProof/>
                <w:webHidden/>
              </w:rPr>
              <w:fldChar w:fldCharType="end"/>
            </w:r>
          </w:hyperlink>
        </w:p>
        <w:p w14:paraId="33B3937C" w14:textId="7E3DCFDA" w:rsidR="0019323D" w:rsidRPr="009F3C37" w:rsidRDefault="0019323D" w:rsidP="0019323D">
          <w:pPr>
            <w:pStyle w:val="TOC1"/>
            <w:tabs>
              <w:tab w:val="left" w:pos="720"/>
              <w:tab w:val="right" w:leader="dot" w:pos="8630"/>
            </w:tabs>
            <w:spacing w:line="480" w:lineRule="auto"/>
            <w:rPr>
              <w:rFonts w:eastAsiaTheme="minorEastAsia"/>
              <w:b w:val="0"/>
              <w:bCs w:val="0"/>
              <w:i w:val="0"/>
              <w:iCs w:val="0"/>
              <w:noProof/>
              <w:kern w:val="2"/>
              <w14:ligatures w14:val="standardContextual"/>
            </w:rPr>
          </w:pPr>
          <w:hyperlink w:anchor="_Toc225513554" w:history="1">
            <w:r w:rsidRPr="009F3C37">
              <w:rPr>
                <w:rStyle w:val="Hyperlink"/>
                <w:noProof/>
              </w:rPr>
              <w:t>III.</w:t>
            </w:r>
            <w:r w:rsidRPr="009F3C37">
              <w:rPr>
                <w:rFonts w:eastAsiaTheme="minorEastAsia"/>
                <w:b w:val="0"/>
                <w:bCs w:val="0"/>
                <w:i w:val="0"/>
                <w:iCs w:val="0"/>
                <w:noProof/>
                <w:kern w:val="2"/>
                <w14:ligatures w14:val="standardContextual"/>
              </w:rPr>
              <w:tab/>
            </w:r>
            <w:r w:rsidRPr="009F3C37">
              <w:rPr>
                <w:rStyle w:val="Hyperlink"/>
                <w:noProof/>
              </w:rPr>
              <w:t>State Courts Have Found That More Flexible Equal Protection and Fundamental Rights Frameworks Better Effectuate State Constitutional Principles than the Prevailing Federal Standards</w:t>
            </w:r>
            <w:r w:rsidRPr="009F3C37">
              <w:rPr>
                <w:noProof/>
                <w:webHidden/>
              </w:rPr>
              <w:tab/>
            </w:r>
            <w:r w:rsidRPr="009F3C37">
              <w:rPr>
                <w:noProof/>
                <w:webHidden/>
              </w:rPr>
              <w:fldChar w:fldCharType="begin"/>
            </w:r>
            <w:r w:rsidRPr="009F3C37">
              <w:rPr>
                <w:noProof/>
                <w:webHidden/>
              </w:rPr>
              <w:instrText xml:space="preserve"> PAGEREF _Toc225513554 \h </w:instrText>
            </w:r>
            <w:r w:rsidRPr="009F3C37">
              <w:rPr>
                <w:noProof/>
                <w:webHidden/>
              </w:rPr>
            </w:r>
            <w:r w:rsidRPr="009F3C37">
              <w:rPr>
                <w:noProof/>
                <w:webHidden/>
              </w:rPr>
              <w:fldChar w:fldCharType="separate"/>
            </w:r>
            <w:r w:rsidRPr="009F3C37">
              <w:rPr>
                <w:noProof/>
                <w:webHidden/>
              </w:rPr>
              <w:t>16</w:t>
            </w:r>
            <w:r w:rsidRPr="009F3C37">
              <w:rPr>
                <w:noProof/>
                <w:webHidden/>
              </w:rPr>
              <w:fldChar w:fldCharType="end"/>
            </w:r>
          </w:hyperlink>
        </w:p>
        <w:p w14:paraId="0B2DC508" w14:textId="718CD687" w:rsidR="0019323D" w:rsidRPr="009F3C37" w:rsidRDefault="0019323D" w:rsidP="0019323D">
          <w:pPr>
            <w:pStyle w:val="TOC1"/>
            <w:tabs>
              <w:tab w:val="right" w:leader="dot" w:pos="8630"/>
            </w:tabs>
            <w:spacing w:line="480" w:lineRule="auto"/>
            <w:rPr>
              <w:rFonts w:eastAsiaTheme="minorEastAsia"/>
              <w:b w:val="0"/>
              <w:bCs w:val="0"/>
              <w:i w:val="0"/>
              <w:iCs w:val="0"/>
              <w:noProof/>
              <w:kern w:val="2"/>
              <w14:ligatures w14:val="standardContextual"/>
            </w:rPr>
          </w:pPr>
          <w:hyperlink w:anchor="_Toc225513555" w:history="1">
            <w:r w:rsidRPr="009F3C37">
              <w:rPr>
                <w:rStyle w:val="Hyperlink"/>
                <w:noProof/>
              </w:rPr>
              <w:t>CONCLUSION</w:t>
            </w:r>
            <w:r w:rsidRPr="009F3C37">
              <w:rPr>
                <w:noProof/>
                <w:webHidden/>
              </w:rPr>
              <w:tab/>
            </w:r>
            <w:r w:rsidRPr="009F3C37">
              <w:rPr>
                <w:noProof/>
                <w:webHidden/>
              </w:rPr>
              <w:fldChar w:fldCharType="begin"/>
            </w:r>
            <w:r w:rsidRPr="009F3C37">
              <w:rPr>
                <w:noProof/>
                <w:webHidden/>
              </w:rPr>
              <w:instrText xml:space="preserve"> PAGEREF _Toc225513555 \h </w:instrText>
            </w:r>
            <w:r w:rsidRPr="009F3C37">
              <w:rPr>
                <w:noProof/>
                <w:webHidden/>
              </w:rPr>
            </w:r>
            <w:r w:rsidRPr="009F3C37">
              <w:rPr>
                <w:noProof/>
                <w:webHidden/>
              </w:rPr>
              <w:fldChar w:fldCharType="separate"/>
            </w:r>
            <w:r w:rsidRPr="009F3C37">
              <w:rPr>
                <w:noProof/>
                <w:webHidden/>
              </w:rPr>
              <w:t>19</w:t>
            </w:r>
            <w:r w:rsidRPr="009F3C37">
              <w:rPr>
                <w:noProof/>
                <w:webHidden/>
              </w:rPr>
              <w:fldChar w:fldCharType="end"/>
            </w:r>
          </w:hyperlink>
        </w:p>
        <w:p w14:paraId="20862A27" w14:textId="75EC743B" w:rsidR="00520811" w:rsidRPr="009F3C37" w:rsidRDefault="008E402A" w:rsidP="0019323D">
          <w:pPr>
            <w:spacing w:line="480" w:lineRule="auto"/>
            <w:rPr>
              <w:noProof/>
              <w:color w:val="000000" w:themeColor="text1"/>
            </w:rPr>
          </w:pPr>
          <w:r w:rsidRPr="009F3C37">
            <w:rPr>
              <w:b/>
              <w:bCs/>
              <w:noProof/>
              <w:color w:val="000000" w:themeColor="text1"/>
            </w:rPr>
            <w:lastRenderedPageBreak/>
            <w:fldChar w:fldCharType="end"/>
          </w:r>
        </w:p>
      </w:sdtContent>
    </w:sdt>
    <w:p w14:paraId="61B6579B" w14:textId="068BA530" w:rsidR="008E402A" w:rsidRPr="009F3C37" w:rsidRDefault="008E402A" w:rsidP="00A509AE">
      <w:pPr>
        <w:pStyle w:val="Heading1"/>
        <w:spacing w:line="480" w:lineRule="auto"/>
        <w:jc w:val="center"/>
        <w:rPr>
          <w:rFonts w:cs="Times New Roman"/>
          <w:b/>
          <w:bCs/>
          <w:szCs w:val="24"/>
          <w:u w:val="single"/>
        </w:rPr>
      </w:pPr>
      <w:bookmarkStart w:id="2" w:name="_Toc225513541"/>
      <w:r w:rsidRPr="009F3C37">
        <w:rPr>
          <w:rFonts w:cs="Times New Roman"/>
          <w:b/>
          <w:bCs/>
          <w:szCs w:val="24"/>
          <w:u w:val="single"/>
        </w:rPr>
        <w:t>TABLE OF AUTHORITIES (</w:t>
      </w:r>
      <w:r w:rsidR="00520811" w:rsidRPr="009F3C37">
        <w:rPr>
          <w:rFonts w:cs="Times New Roman"/>
          <w:b/>
          <w:bCs/>
          <w:szCs w:val="24"/>
          <w:u w:val="single"/>
        </w:rPr>
        <w:t>2 Pages)</w:t>
      </w:r>
      <w:bookmarkEnd w:id="2"/>
    </w:p>
    <w:p w14:paraId="2B4BAF73" w14:textId="77777777" w:rsidR="008E402A" w:rsidRPr="009F3C37" w:rsidRDefault="008E402A" w:rsidP="00BE59AB">
      <w:pPr>
        <w:rPr>
          <w:b/>
          <w:bCs/>
          <w:color w:val="000000" w:themeColor="text1"/>
          <w:u w:val="single"/>
        </w:rPr>
      </w:pPr>
      <w:r w:rsidRPr="009F3C37">
        <w:rPr>
          <w:b/>
          <w:bCs/>
          <w:color w:val="000000" w:themeColor="text1"/>
          <w:u w:val="single"/>
        </w:rPr>
        <w:br w:type="page"/>
      </w:r>
    </w:p>
    <w:p w14:paraId="0ED9F433" w14:textId="692DED69" w:rsidR="008E402A" w:rsidRPr="009F3C37" w:rsidRDefault="008E402A" w:rsidP="00933721">
      <w:pPr>
        <w:rPr>
          <w:b/>
          <w:bCs/>
          <w:color w:val="000000" w:themeColor="text1"/>
        </w:rPr>
      </w:pPr>
      <w:r w:rsidRPr="009F3C37">
        <w:rPr>
          <w:b/>
          <w:bCs/>
          <w:color w:val="000000" w:themeColor="text1"/>
          <w:u w:val="single"/>
        </w:rPr>
        <w:lastRenderedPageBreak/>
        <w:br w:type="page"/>
      </w:r>
    </w:p>
    <w:p w14:paraId="17970F14" w14:textId="76BED40D" w:rsidR="008E402A" w:rsidRPr="009F3C37" w:rsidRDefault="008E402A" w:rsidP="00520811">
      <w:pPr>
        <w:pStyle w:val="Heading1"/>
        <w:spacing w:line="480" w:lineRule="auto"/>
        <w:jc w:val="center"/>
        <w:rPr>
          <w:rFonts w:cs="Times New Roman"/>
          <w:b/>
          <w:bCs/>
          <w:i/>
          <w:iCs/>
          <w:szCs w:val="24"/>
          <w:u w:val="single"/>
        </w:rPr>
      </w:pPr>
      <w:bookmarkStart w:id="3" w:name="_Toc225513542"/>
      <w:r w:rsidRPr="009F3C37">
        <w:rPr>
          <w:rFonts w:cs="Times New Roman"/>
          <w:b/>
          <w:bCs/>
          <w:szCs w:val="24"/>
          <w:u w:val="single"/>
        </w:rPr>
        <w:lastRenderedPageBreak/>
        <w:t xml:space="preserve">STATEMENT OF INTEREST OF </w:t>
      </w:r>
      <w:r w:rsidRPr="009F3C37">
        <w:rPr>
          <w:rFonts w:cs="Times New Roman"/>
          <w:b/>
          <w:bCs/>
          <w:i/>
          <w:iCs/>
          <w:szCs w:val="24"/>
          <w:u w:val="single"/>
        </w:rPr>
        <w:t>AMICI CURIAE</w:t>
      </w:r>
      <w:bookmarkEnd w:id="3"/>
    </w:p>
    <w:p w14:paraId="1C07E834" w14:textId="2C173578" w:rsidR="008E402A" w:rsidRPr="009F3C37" w:rsidRDefault="00933D83" w:rsidP="00933D83">
      <w:pPr>
        <w:spacing w:line="480" w:lineRule="auto"/>
        <w:ind w:firstLine="720"/>
        <w:jc w:val="both"/>
        <w:rPr>
          <w:color w:val="000000" w:themeColor="text1"/>
        </w:rPr>
      </w:pPr>
      <w:r w:rsidRPr="009F3C37">
        <w:rPr>
          <w:color w:val="000000" w:themeColor="text1"/>
        </w:rPr>
        <w:t>T</w:t>
      </w:r>
      <w:r w:rsidR="008E402A" w:rsidRPr="009F3C37">
        <w:rPr>
          <w:color w:val="000000" w:themeColor="text1"/>
        </w:rPr>
        <w:t xml:space="preserve">he Brennan Center for Justice (“Brennan Center”) is a not-for-profit, non-partisan think tank and public interest law institute that seeks to improve </w:t>
      </w:r>
      <w:r w:rsidR="00CD6C04" w:rsidRPr="009F3C37">
        <w:rPr>
          <w:color w:val="000000" w:themeColor="text1"/>
        </w:rPr>
        <w:t xml:space="preserve">U.S. </w:t>
      </w:r>
      <w:r w:rsidR="008E402A" w:rsidRPr="009F3C37">
        <w:rPr>
          <w:color w:val="000000" w:themeColor="text1"/>
        </w:rPr>
        <w:t>systems of democracy and justice.</w:t>
      </w:r>
      <w:r w:rsidR="008E402A" w:rsidRPr="009F3C37">
        <w:rPr>
          <w:color w:val="000000" w:themeColor="text1"/>
          <w:vertAlign w:val="superscript"/>
        </w:rPr>
        <w:footnoteReference w:id="1"/>
      </w:r>
      <w:r w:rsidRPr="009F3C37">
        <w:rPr>
          <w:color w:val="000000" w:themeColor="text1"/>
        </w:rPr>
        <w:t xml:space="preserve"> </w:t>
      </w:r>
      <w:r w:rsidR="008E402A" w:rsidRPr="009F3C37">
        <w:rPr>
          <w:color w:val="000000" w:themeColor="text1"/>
        </w:rPr>
        <w:t xml:space="preserve">Recognizing that state constitutions </w:t>
      </w:r>
      <w:r w:rsidR="00412E71" w:rsidRPr="009F3C37">
        <w:rPr>
          <w:color w:val="000000" w:themeColor="text1"/>
        </w:rPr>
        <w:t xml:space="preserve">are </w:t>
      </w:r>
      <w:r w:rsidR="00DE675F" w:rsidRPr="009F3C37">
        <w:rPr>
          <w:color w:val="000000" w:themeColor="text1"/>
        </w:rPr>
        <w:t xml:space="preserve">important sources of rights in </w:t>
      </w:r>
      <w:r w:rsidR="00412E71" w:rsidRPr="009F3C37">
        <w:rPr>
          <w:color w:val="000000" w:themeColor="text1"/>
        </w:rPr>
        <w:t>our federalist system</w:t>
      </w:r>
      <w:r w:rsidR="008E402A" w:rsidRPr="009F3C37">
        <w:rPr>
          <w:color w:val="000000" w:themeColor="text1"/>
        </w:rPr>
        <w:t>,</w:t>
      </w:r>
      <w:r w:rsidR="00FD324F" w:rsidRPr="009F3C37">
        <w:rPr>
          <w:color w:val="000000" w:themeColor="text1"/>
        </w:rPr>
        <w:t xml:space="preserve"> </w:t>
      </w:r>
      <w:r w:rsidR="008E402A" w:rsidRPr="009F3C37">
        <w:rPr>
          <w:color w:val="000000" w:themeColor="text1"/>
        </w:rPr>
        <w:t xml:space="preserve"> the Brennan Center </w:t>
      </w:r>
      <w:r w:rsidR="00B4513F" w:rsidRPr="009F3C37">
        <w:rPr>
          <w:color w:val="000000" w:themeColor="text1"/>
        </w:rPr>
        <w:t>researches</w:t>
      </w:r>
      <w:r w:rsidR="00EA65C8" w:rsidRPr="009F3C37">
        <w:rPr>
          <w:color w:val="000000" w:themeColor="text1"/>
        </w:rPr>
        <w:t xml:space="preserve"> and tracks</w:t>
      </w:r>
      <w:r w:rsidR="00B4513F" w:rsidRPr="009F3C37">
        <w:rPr>
          <w:color w:val="000000" w:themeColor="text1"/>
        </w:rPr>
        <w:t xml:space="preserve"> </w:t>
      </w:r>
      <w:r w:rsidR="007D1E34" w:rsidRPr="009F3C37">
        <w:rPr>
          <w:color w:val="000000" w:themeColor="text1"/>
        </w:rPr>
        <w:t xml:space="preserve">state constitutional legal </w:t>
      </w:r>
      <w:r w:rsidR="002643F9" w:rsidRPr="009F3C37">
        <w:rPr>
          <w:color w:val="000000" w:themeColor="text1"/>
        </w:rPr>
        <w:t>trends</w:t>
      </w:r>
      <w:r w:rsidR="002B35D6" w:rsidRPr="009F3C37">
        <w:rPr>
          <w:color w:val="000000" w:themeColor="text1"/>
        </w:rPr>
        <w:t xml:space="preserve">, and </w:t>
      </w:r>
      <w:r w:rsidR="00285759" w:rsidRPr="009F3C37">
        <w:rPr>
          <w:color w:val="000000" w:themeColor="text1"/>
        </w:rPr>
        <w:t xml:space="preserve">encourages </w:t>
      </w:r>
      <w:r w:rsidR="005C6E39" w:rsidRPr="009F3C37">
        <w:rPr>
          <w:color w:val="000000" w:themeColor="text1"/>
        </w:rPr>
        <w:t>the study and development of state constitutional law</w:t>
      </w:r>
      <w:r w:rsidR="008E402A" w:rsidRPr="009F3C37">
        <w:rPr>
          <w:color w:val="000000" w:themeColor="text1"/>
        </w:rPr>
        <w:t xml:space="preserve">. The Brennan Center regularly participates as </w:t>
      </w:r>
      <w:r w:rsidR="008E402A" w:rsidRPr="009F3C37">
        <w:rPr>
          <w:i/>
          <w:iCs/>
          <w:color w:val="000000" w:themeColor="text1"/>
        </w:rPr>
        <w:t>amicus</w:t>
      </w:r>
      <w:r w:rsidR="00F042F8" w:rsidRPr="009F3C37">
        <w:rPr>
          <w:i/>
          <w:iCs/>
          <w:color w:val="000000" w:themeColor="text1"/>
        </w:rPr>
        <w:t xml:space="preserve"> curiae</w:t>
      </w:r>
      <w:r w:rsidR="008E402A" w:rsidRPr="009F3C37">
        <w:rPr>
          <w:color w:val="000000" w:themeColor="text1"/>
        </w:rPr>
        <w:t xml:space="preserve"> before state </w:t>
      </w:r>
      <w:r w:rsidR="00F042F8" w:rsidRPr="009F3C37">
        <w:rPr>
          <w:color w:val="000000" w:themeColor="text1"/>
        </w:rPr>
        <w:t>supreme courts</w:t>
      </w:r>
      <w:r w:rsidR="00800FCC" w:rsidRPr="009F3C37">
        <w:rPr>
          <w:color w:val="000000" w:themeColor="text1"/>
        </w:rPr>
        <w:t>,</w:t>
      </w:r>
      <w:r w:rsidR="00F042F8" w:rsidRPr="009F3C37">
        <w:rPr>
          <w:color w:val="000000" w:themeColor="text1"/>
        </w:rPr>
        <w:t xml:space="preserve"> </w:t>
      </w:r>
      <w:r w:rsidR="00800FCC" w:rsidRPr="009F3C37">
        <w:rPr>
          <w:color w:val="000000" w:themeColor="text1"/>
        </w:rPr>
        <w:t>state</w:t>
      </w:r>
      <w:r w:rsidR="00F042F8" w:rsidRPr="009F3C37">
        <w:rPr>
          <w:color w:val="000000" w:themeColor="text1"/>
        </w:rPr>
        <w:t xml:space="preserve"> </w:t>
      </w:r>
      <w:r w:rsidR="008E402A" w:rsidRPr="009F3C37">
        <w:rPr>
          <w:color w:val="000000" w:themeColor="text1"/>
        </w:rPr>
        <w:t>appellate courts, federal circuit courts, and the United States Supreme Court on these issues.</w:t>
      </w:r>
    </w:p>
    <w:p w14:paraId="63A48CEE" w14:textId="7D8FE831" w:rsidR="008929F9" w:rsidRPr="009F3C37" w:rsidRDefault="000E4B94" w:rsidP="00A53204">
      <w:pPr>
        <w:spacing w:line="480" w:lineRule="auto"/>
        <w:ind w:firstLine="720"/>
        <w:jc w:val="both"/>
        <w:rPr>
          <w:color w:val="000000" w:themeColor="text1"/>
        </w:rPr>
      </w:pPr>
      <w:commentRangeStart w:id="4"/>
      <w:commentRangeStart w:id="5"/>
      <w:r w:rsidRPr="009F3C37">
        <w:rPr>
          <w:color w:val="000000" w:themeColor="text1"/>
        </w:rPr>
        <w:t xml:space="preserve">Professor Robert F. Williams </w:t>
      </w:r>
      <w:commentRangeEnd w:id="4"/>
      <w:r w:rsidR="009F3C37" w:rsidRPr="009F3C37">
        <w:rPr>
          <w:rStyle w:val="CommentReference"/>
          <w:color w:val="000000" w:themeColor="text1"/>
          <w:sz w:val="24"/>
          <w:szCs w:val="24"/>
        </w:rPr>
        <w:commentReference w:id="4"/>
      </w:r>
      <w:commentRangeEnd w:id="5"/>
      <w:r w:rsidR="009A451C" w:rsidRPr="009F3C37">
        <w:rPr>
          <w:rStyle w:val="CommentReference"/>
          <w:color w:val="000000" w:themeColor="text1"/>
          <w:sz w:val="24"/>
          <w:szCs w:val="24"/>
        </w:rPr>
        <w:commentReference w:id="5"/>
      </w:r>
      <w:r w:rsidRPr="009F3C37">
        <w:rPr>
          <w:color w:val="000000" w:themeColor="text1"/>
        </w:rPr>
        <w:t>is a Distinguished Professor of Law Emeritus at Rutgers University School of Law. He is a</w:t>
      </w:r>
      <w:r w:rsidR="00933D83" w:rsidRPr="009F3C37">
        <w:rPr>
          <w:color w:val="000000" w:themeColor="text1"/>
        </w:rPr>
        <w:t xml:space="preserve"> leadi</w:t>
      </w:r>
      <w:r w:rsidRPr="009F3C37">
        <w:rPr>
          <w:color w:val="000000" w:themeColor="text1"/>
        </w:rPr>
        <w:t>n</w:t>
      </w:r>
      <w:r w:rsidR="00933D83" w:rsidRPr="009F3C37">
        <w:rPr>
          <w:color w:val="000000" w:themeColor="text1"/>
        </w:rPr>
        <w:t>g</w:t>
      </w:r>
      <w:r w:rsidRPr="009F3C37">
        <w:rPr>
          <w:color w:val="000000" w:themeColor="text1"/>
        </w:rPr>
        <w:t xml:space="preserve"> expert in state constitutional law and directed the Center for State Constitutional Studies at Rutgers. Professor Williams has authored extensive legal scholarship on state constitutional law, including </w:t>
      </w:r>
      <w:r w:rsidRPr="009F3C37">
        <w:rPr>
          <w:i/>
          <w:iCs/>
          <w:color w:val="000000" w:themeColor="text1"/>
        </w:rPr>
        <w:t>The Law of American State Constitutions</w:t>
      </w:r>
      <w:r w:rsidRPr="009F3C37">
        <w:rPr>
          <w:color w:val="000000" w:themeColor="text1"/>
        </w:rPr>
        <w:t xml:space="preserve"> (2nd ed., 2023)</w:t>
      </w:r>
      <w:r w:rsidR="00D16A03" w:rsidRPr="009F3C37">
        <w:rPr>
          <w:color w:val="000000" w:themeColor="text1"/>
        </w:rPr>
        <w:t xml:space="preserve"> and</w:t>
      </w:r>
      <w:r w:rsidR="00604F64" w:rsidRPr="009F3C37">
        <w:rPr>
          <w:color w:val="000000" w:themeColor="text1"/>
        </w:rPr>
        <w:t xml:space="preserve"> </w:t>
      </w:r>
      <w:r w:rsidRPr="009F3C37">
        <w:rPr>
          <w:i/>
          <w:iCs/>
          <w:color w:val="000000" w:themeColor="text1"/>
        </w:rPr>
        <w:t>State Constitutional Law, Cases and Materials</w:t>
      </w:r>
      <w:r w:rsidRPr="009F3C37">
        <w:rPr>
          <w:color w:val="000000" w:themeColor="text1"/>
        </w:rPr>
        <w:t xml:space="preserve"> (5th ed., 2015)</w:t>
      </w:r>
      <w:r w:rsidR="00D16A03" w:rsidRPr="009F3C37">
        <w:rPr>
          <w:color w:val="000000" w:themeColor="text1"/>
        </w:rPr>
        <w:t>, two of the leading textbooks in the field of state constitutional law.</w:t>
      </w:r>
      <w:r w:rsidR="008929F9" w:rsidRPr="009F3C37">
        <w:rPr>
          <w:color w:val="000000" w:themeColor="text1"/>
        </w:rPr>
        <w:t xml:space="preserve"> </w:t>
      </w:r>
    </w:p>
    <w:p w14:paraId="0982C342" w14:textId="77777777" w:rsidR="008929F9" w:rsidRPr="009F3C37" w:rsidRDefault="008929F9">
      <w:pPr>
        <w:spacing w:after="160" w:line="278" w:lineRule="auto"/>
        <w:rPr>
          <w:color w:val="000000" w:themeColor="text1"/>
        </w:rPr>
      </w:pPr>
      <w:r w:rsidRPr="009F3C37">
        <w:rPr>
          <w:color w:val="000000" w:themeColor="text1"/>
        </w:rPr>
        <w:br w:type="page"/>
      </w:r>
    </w:p>
    <w:p w14:paraId="587CB5B1" w14:textId="4B261AB1" w:rsidR="00C4519B" w:rsidRPr="009F3C37" w:rsidRDefault="008E402A" w:rsidP="00F73C27">
      <w:pPr>
        <w:pStyle w:val="Heading1"/>
        <w:spacing w:line="480" w:lineRule="auto"/>
        <w:jc w:val="center"/>
        <w:rPr>
          <w:rFonts w:cs="Times New Roman"/>
          <w:b/>
          <w:bCs/>
          <w:szCs w:val="24"/>
          <w:u w:val="single"/>
        </w:rPr>
      </w:pPr>
      <w:bookmarkStart w:id="6" w:name="_Toc225513543"/>
      <w:r w:rsidRPr="009F3C37">
        <w:rPr>
          <w:rFonts w:cs="Times New Roman"/>
          <w:b/>
          <w:bCs/>
          <w:szCs w:val="24"/>
          <w:u w:val="single"/>
        </w:rPr>
        <w:lastRenderedPageBreak/>
        <w:t>SUMMARY OF ARGUMENT</w:t>
      </w:r>
      <w:bookmarkEnd w:id="6"/>
    </w:p>
    <w:p w14:paraId="1D2CE9F3" w14:textId="5D6BCAAA" w:rsidR="00EF0BBE" w:rsidRPr="000C43AD" w:rsidRDefault="004429B4" w:rsidP="00B178AA">
      <w:pPr>
        <w:spacing w:line="480" w:lineRule="auto"/>
        <w:ind w:firstLine="720"/>
        <w:jc w:val="both"/>
        <w:rPr>
          <w:i/>
          <w:iCs/>
          <w:color w:val="000000" w:themeColor="text1"/>
        </w:rPr>
      </w:pPr>
      <w:r w:rsidRPr="009F3C37">
        <w:rPr>
          <w:color w:val="000000" w:themeColor="text1"/>
        </w:rPr>
        <w:t xml:space="preserve">State courts </w:t>
      </w:r>
      <w:r w:rsidR="005171C3" w:rsidRPr="009F3C37">
        <w:rPr>
          <w:color w:val="000000" w:themeColor="text1"/>
        </w:rPr>
        <w:t>have a “duty” to “make an independent determination of the protections afforded under [a state constitution].</w:t>
      </w:r>
      <w:r w:rsidR="00D157DC" w:rsidRPr="009F3C37">
        <w:rPr>
          <w:color w:val="000000" w:themeColor="text1"/>
        </w:rPr>
        <w:t xml:space="preserve"> . . . When a </w:t>
      </w:r>
      <w:r w:rsidR="0035482F" w:rsidRPr="009F3C37">
        <w:rPr>
          <w:color w:val="000000" w:themeColor="text1"/>
        </w:rPr>
        <w:t xml:space="preserve">state court interprets the constitution of its state merely as a restatement of the Federal Constitution, it both insults the dignity of the state charter and denies citizens the fullest protection of their rights.” </w:t>
      </w:r>
      <w:r w:rsidR="00CA2152" w:rsidRPr="009F3C37">
        <w:rPr>
          <w:color w:val="000000" w:themeColor="text1"/>
          <w:shd w:val="clear" w:color="auto" w:fill="FFFFFF"/>
        </w:rPr>
        <w:t>Hon. Clint Bolick, “Principles of State Constitutional Interpretation,” 53 Ariz St L J 771, 7</w:t>
      </w:r>
      <w:r w:rsidR="00004FE1" w:rsidRPr="009F3C37">
        <w:rPr>
          <w:color w:val="000000" w:themeColor="text1"/>
          <w:shd w:val="clear" w:color="auto" w:fill="FFFFFF"/>
        </w:rPr>
        <w:t>86</w:t>
      </w:r>
      <w:r w:rsidR="00CA2152" w:rsidRPr="009F3C37">
        <w:rPr>
          <w:color w:val="000000" w:themeColor="text1"/>
          <w:shd w:val="clear" w:color="auto" w:fill="FFFFFF"/>
        </w:rPr>
        <w:t xml:space="preserve"> (2021) (</w:t>
      </w:r>
      <w:r w:rsidR="008736B3">
        <w:rPr>
          <w:color w:val="000000" w:themeColor="text1"/>
          <w:shd w:val="clear" w:color="auto" w:fill="FFFFFF"/>
        </w:rPr>
        <w:t>quotations and citations omitted</w:t>
      </w:r>
      <w:r w:rsidR="00CA2152" w:rsidRPr="009F3C37">
        <w:rPr>
          <w:color w:val="000000" w:themeColor="text1"/>
          <w:shd w:val="clear" w:color="auto" w:fill="FFFFFF"/>
        </w:rPr>
        <w:t>)</w:t>
      </w:r>
      <w:r w:rsidR="005171C3" w:rsidRPr="009F3C37">
        <w:rPr>
          <w:color w:val="000000" w:themeColor="text1"/>
        </w:rPr>
        <w:t>.</w:t>
      </w:r>
      <w:r w:rsidR="00A60216" w:rsidRPr="009F3C37">
        <w:rPr>
          <w:color w:val="000000" w:themeColor="text1"/>
        </w:rPr>
        <w:t xml:space="preserve"> </w:t>
      </w:r>
      <w:r w:rsidR="0039143D" w:rsidRPr="009F3C37">
        <w:rPr>
          <w:i/>
          <w:iCs/>
          <w:color w:val="000000" w:themeColor="text1"/>
        </w:rPr>
        <w:t xml:space="preserve">See </w:t>
      </w:r>
      <w:r w:rsidR="00B178AA" w:rsidRPr="000C43AD">
        <w:rPr>
          <w:color w:val="000000" w:themeColor="text1"/>
        </w:rPr>
        <w:t>N.D. Legislative Assembly v. Burgum, 2018 ND 189, 916 N.W.2d 83, 101</w:t>
      </w:r>
      <w:r w:rsidR="00B178AA" w:rsidRPr="000C43AD">
        <w:rPr>
          <w:color w:val="000000" w:themeColor="text1"/>
          <w:u w:val="single"/>
        </w:rPr>
        <w:t xml:space="preserve"> </w:t>
      </w:r>
      <w:r w:rsidR="00B178AA" w:rsidRPr="000C43AD">
        <w:rPr>
          <w:color w:val="000000" w:themeColor="text1"/>
        </w:rPr>
        <w:t>(2018)</w:t>
      </w:r>
      <w:r w:rsidR="00B178AA" w:rsidRPr="009F3C37">
        <w:rPr>
          <w:i/>
          <w:iCs/>
          <w:color w:val="000000" w:themeColor="text1"/>
        </w:rPr>
        <w:t xml:space="preserve"> </w:t>
      </w:r>
      <w:r w:rsidR="00F274CD" w:rsidRPr="009F3C37">
        <w:rPr>
          <w:color w:val="000000" w:themeColor="text1"/>
        </w:rPr>
        <w:t>(“[U]ltimately we are charged with interpreting the North Dakota Constitution and its distinct provisions.”)</w:t>
      </w:r>
      <w:r w:rsidR="006939E2" w:rsidRPr="009F3C37">
        <w:rPr>
          <w:color w:val="000000" w:themeColor="text1"/>
        </w:rPr>
        <w:t xml:space="preserve">; </w:t>
      </w:r>
      <w:r w:rsidR="006939E2" w:rsidRPr="009F3C37">
        <w:rPr>
          <w:i/>
          <w:iCs/>
          <w:color w:val="000000" w:themeColor="text1"/>
        </w:rPr>
        <w:t>State v. Jacobsen</w:t>
      </w:r>
      <w:r w:rsidR="006939E2" w:rsidRPr="009F3C37">
        <w:rPr>
          <w:color w:val="000000" w:themeColor="text1"/>
        </w:rPr>
        <w:t>,</w:t>
      </w:r>
      <w:r w:rsidR="00F73C27" w:rsidRPr="009F3C37">
        <w:rPr>
          <w:color w:val="000000" w:themeColor="text1"/>
        </w:rPr>
        <w:t xml:space="preserve"> </w:t>
      </w:r>
      <w:r w:rsidR="00F73C27" w:rsidRPr="009F3C37">
        <w:rPr>
          <w:color w:val="3D3D3D"/>
        </w:rPr>
        <w:t>545 N.W.2d 152</w:t>
      </w:r>
      <w:r w:rsidR="0039143D" w:rsidRPr="009F3C37">
        <w:rPr>
          <w:color w:val="3D3D3D"/>
        </w:rPr>
        <w:t xml:space="preserve"> (1996) (Levin, J., dissenting) (</w:t>
      </w:r>
      <w:r w:rsidR="00F73C27" w:rsidRPr="009F3C37">
        <w:rPr>
          <w:color w:val="3D3D3D"/>
        </w:rPr>
        <w:t>“</w:t>
      </w:r>
      <w:r w:rsidR="006939E2" w:rsidRPr="009F3C37">
        <w:rPr>
          <w:color w:val="1F1F1F"/>
          <w:shd w:val="clear" w:color="auto" w:fill="FFFFFF"/>
        </w:rPr>
        <w:t>If we deny our state constitution a life of its own, it becomes a mere appendage to the federal constitution</w:t>
      </w:r>
      <w:r w:rsidR="00F73C27" w:rsidRPr="009F3C37">
        <w:rPr>
          <w:color w:val="1F1F1F"/>
          <w:shd w:val="clear" w:color="auto" w:fill="FFFFFF"/>
        </w:rPr>
        <w:t>.”)</w:t>
      </w:r>
      <w:r w:rsidR="0039143D" w:rsidRPr="009F3C37">
        <w:rPr>
          <w:color w:val="1F1F1F"/>
          <w:shd w:val="clear" w:color="auto" w:fill="FFFFFF"/>
        </w:rPr>
        <w:t xml:space="preserve"> </w:t>
      </w:r>
    </w:p>
    <w:p w14:paraId="6A4F13DF" w14:textId="5A417B88" w:rsidR="00B87D88" w:rsidRPr="009F3C37" w:rsidRDefault="001052B8" w:rsidP="001052B8">
      <w:pPr>
        <w:spacing w:line="480" w:lineRule="auto"/>
        <w:ind w:firstLine="720"/>
        <w:jc w:val="both"/>
        <w:rPr>
          <w:color w:val="000000" w:themeColor="text1"/>
        </w:rPr>
      </w:pPr>
      <w:r w:rsidRPr="009F3C37">
        <w:rPr>
          <w:color w:val="000000" w:themeColor="text1"/>
        </w:rPr>
        <w:t>I</w:t>
      </w:r>
      <w:r w:rsidR="00DA1491" w:rsidRPr="009F3C37">
        <w:rPr>
          <w:color w:val="000000" w:themeColor="text1"/>
        </w:rPr>
        <w:t>n North Dakota</w:t>
      </w:r>
      <w:r w:rsidR="00807696" w:rsidRPr="009F3C37">
        <w:rPr>
          <w:color w:val="000000" w:themeColor="text1"/>
        </w:rPr>
        <w:t>,</w:t>
      </w:r>
      <w:r w:rsidR="00DA1491" w:rsidRPr="009F3C37">
        <w:rPr>
          <w:color w:val="000000" w:themeColor="text1"/>
        </w:rPr>
        <w:t xml:space="preserve"> thi</w:t>
      </w:r>
      <w:r w:rsidR="00064112" w:rsidRPr="009F3C37">
        <w:rPr>
          <w:color w:val="000000" w:themeColor="text1"/>
        </w:rPr>
        <w:t xml:space="preserve">s independent </w:t>
      </w:r>
      <w:r w:rsidR="00A60216" w:rsidRPr="009F3C37">
        <w:rPr>
          <w:color w:val="000000" w:themeColor="text1"/>
        </w:rPr>
        <w:t>analysis</w:t>
      </w:r>
      <w:r w:rsidR="00064112" w:rsidRPr="009F3C37">
        <w:rPr>
          <w:color w:val="000000" w:themeColor="text1"/>
        </w:rPr>
        <w:t xml:space="preserve"> include</w:t>
      </w:r>
      <w:r w:rsidR="00DA1491" w:rsidRPr="009F3C37">
        <w:rPr>
          <w:color w:val="000000" w:themeColor="text1"/>
        </w:rPr>
        <w:t>s</w:t>
      </w:r>
      <w:r w:rsidR="00064112" w:rsidRPr="009F3C37">
        <w:rPr>
          <w:color w:val="000000" w:themeColor="text1"/>
        </w:rPr>
        <w:t xml:space="preserve"> </w:t>
      </w:r>
      <w:r w:rsidR="00F14A0B" w:rsidRPr="009F3C37">
        <w:rPr>
          <w:color w:val="000000" w:themeColor="text1"/>
        </w:rPr>
        <w:t xml:space="preserve">close </w:t>
      </w:r>
      <w:r w:rsidR="00DA1491" w:rsidRPr="009F3C37">
        <w:rPr>
          <w:color w:val="000000" w:themeColor="text1"/>
        </w:rPr>
        <w:t>scrutiny</w:t>
      </w:r>
      <w:r w:rsidR="00F14A0B" w:rsidRPr="009F3C37">
        <w:rPr>
          <w:color w:val="000000" w:themeColor="text1"/>
        </w:rPr>
        <w:t xml:space="preserve"> of the </w:t>
      </w:r>
      <w:r w:rsidR="003C79E7" w:rsidRPr="009F3C37">
        <w:rPr>
          <w:color w:val="000000" w:themeColor="text1"/>
        </w:rPr>
        <w:t>language</w:t>
      </w:r>
      <w:r w:rsidR="00F14A0B" w:rsidRPr="009F3C37">
        <w:rPr>
          <w:color w:val="000000" w:themeColor="text1"/>
        </w:rPr>
        <w:t xml:space="preserve"> and </w:t>
      </w:r>
      <w:r w:rsidR="00F861C3" w:rsidRPr="009F3C37">
        <w:rPr>
          <w:color w:val="000000" w:themeColor="text1"/>
        </w:rPr>
        <w:t>history</w:t>
      </w:r>
      <w:r w:rsidR="00853ED1" w:rsidRPr="009F3C37">
        <w:rPr>
          <w:color w:val="000000" w:themeColor="text1"/>
        </w:rPr>
        <w:t xml:space="preserve"> </w:t>
      </w:r>
      <w:r w:rsidR="00F14A0B" w:rsidRPr="009F3C37">
        <w:rPr>
          <w:color w:val="000000" w:themeColor="text1"/>
        </w:rPr>
        <w:t>of</w:t>
      </w:r>
      <w:r w:rsidR="00F56EE6" w:rsidRPr="009F3C37">
        <w:rPr>
          <w:color w:val="000000" w:themeColor="text1"/>
        </w:rPr>
        <w:t xml:space="preserve"> North Dakota’s</w:t>
      </w:r>
      <w:r w:rsidR="00F14A0B" w:rsidRPr="009F3C37">
        <w:rPr>
          <w:color w:val="000000" w:themeColor="text1"/>
        </w:rPr>
        <w:t xml:space="preserve"> constitution</w:t>
      </w:r>
      <w:r w:rsidR="007141B9" w:rsidRPr="009F3C37">
        <w:rPr>
          <w:color w:val="000000" w:themeColor="text1"/>
        </w:rPr>
        <w:t>,</w:t>
      </w:r>
      <w:r w:rsidR="00BE542D" w:rsidRPr="009F3C37">
        <w:rPr>
          <w:color w:val="000000" w:themeColor="text1"/>
        </w:rPr>
        <w:t xml:space="preserve"> </w:t>
      </w:r>
      <w:r w:rsidR="00C4398D" w:rsidRPr="009F3C37">
        <w:rPr>
          <w:color w:val="000000" w:themeColor="text1"/>
        </w:rPr>
        <w:t>while factoring in</w:t>
      </w:r>
      <w:r w:rsidR="00E3642A" w:rsidRPr="009F3C37">
        <w:rPr>
          <w:color w:val="000000" w:themeColor="text1"/>
        </w:rPr>
        <w:t xml:space="preserve"> the fact</w:t>
      </w:r>
      <w:r w:rsidR="00295B5F" w:rsidRPr="009F3C37">
        <w:rPr>
          <w:color w:val="000000" w:themeColor="text1"/>
        </w:rPr>
        <w:t xml:space="preserve"> that </w:t>
      </w:r>
      <w:r w:rsidR="00F56EE6" w:rsidRPr="009F3C37">
        <w:rPr>
          <w:color w:val="000000" w:themeColor="text1"/>
        </w:rPr>
        <w:t>North Dakota’s</w:t>
      </w:r>
      <w:r w:rsidR="00295B5F" w:rsidRPr="009F3C37">
        <w:rPr>
          <w:color w:val="000000" w:themeColor="text1"/>
        </w:rPr>
        <w:t xml:space="preserve"> </w:t>
      </w:r>
      <w:r w:rsidR="002E5052" w:rsidRPr="009F3C37">
        <w:rPr>
          <w:color w:val="000000" w:themeColor="text1"/>
        </w:rPr>
        <w:t>constitution</w:t>
      </w:r>
      <w:r w:rsidR="00295B5F" w:rsidRPr="009F3C37">
        <w:rPr>
          <w:color w:val="000000" w:themeColor="text1"/>
        </w:rPr>
        <w:t xml:space="preserve"> </w:t>
      </w:r>
      <w:r w:rsidR="00F56EE6" w:rsidRPr="009F3C37">
        <w:rPr>
          <w:color w:val="000000" w:themeColor="text1"/>
        </w:rPr>
        <w:t>is</w:t>
      </w:r>
      <w:r w:rsidR="00295B5F" w:rsidRPr="009F3C37">
        <w:rPr>
          <w:color w:val="000000" w:themeColor="text1"/>
        </w:rPr>
        <w:t xml:space="preserve"> “different in nature than the federal constitution</w:t>
      </w:r>
      <w:r w:rsidR="00BE542D" w:rsidRPr="009F3C37">
        <w:rPr>
          <w:color w:val="000000" w:themeColor="text1"/>
        </w:rPr>
        <w:t xml:space="preserve">.” </w:t>
      </w:r>
      <w:r w:rsidR="00B04B54" w:rsidRPr="009F3C37">
        <w:t xml:space="preserve">Findings of Fact, Conclusions of Law, and Order for Judgment, </w:t>
      </w:r>
      <w:r w:rsidR="00B04B54" w:rsidRPr="009F3C37">
        <w:rPr>
          <w:i/>
          <w:iCs/>
        </w:rPr>
        <w:t>T.D. v. Wrigley</w:t>
      </w:r>
      <w:r w:rsidR="00B04B54" w:rsidRPr="009F3C37">
        <w:t xml:space="preserve">, No. 08-2023-CV-02189, ¶¶ 30, 31 (N.D. Dist. Ct. Oct. 8, 2025) (hereinafter “T.D. Lower Court Opinion”) </w:t>
      </w:r>
      <w:r w:rsidR="00D107E1" w:rsidRPr="009F3C37">
        <w:t>(</w:t>
      </w:r>
      <w:r w:rsidR="00A9788A" w:rsidRPr="009F3C37">
        <w:t xml:space="preserve">quoting </w:t>
      </w:r>
      <w:r w:rsidR="00784E50" w:rsidRPr="009F3C37">
        <w:rPr>
          <w:i/>
          <w:iCs/>
        </w:rPr>
        <w:t xml:space="preserve">Thompson v. Jaeger, </w:t>
      </w:r>
      <w:r w:rsidR="00784E50" w:rsidRPr="009F3C37">
        <w:t>2010 ND 174, ¶ 7, 788 N.W.2d 586</w:t>
      </w:r>
      <w:r w:rsidR="00F861C3" w:rsidRPr="009F3C37">
        <w:t xml:space="preserve">; </w:t>
      </w:r>
      <w:r w:rsidR="00F861C3" w:rsidRPr="009F3C37">
        <w:rPr>
          <w:i/>
          <w:iCs/>
        </w:rPr>
        <w:t>State v. Allesi,</w:t>
      </w:r>
      <w:r w:rsidR="00F861C3" w:rsidRPr="009F3C37">
        <w:t xml:space="preserve"> 216 N.W.2d 805,</w:t>
      </w:r>
      <w:r w:rsidR="00985CDC" w:rsidRPr="009F3C37">
        <w:t xml:space="preserve"> </w:t>
      </w:r>
      <w:r w:rsidR="00F861C3" w:rsidRPr="009F3C37">
        <w:t xml:space="preserve">817 (N.D. 1974); </w:t>
      </w:r>
      <w:r w:rsidR="00A9788A" w:rsidRPr="009F3C37">
        <w:rPr>
          <w:i/>
          <w:iCs/>
          <w:color w:val="000000" w:themeColor="text1"/>
        </w:rPr>
        <w:t>Access Indep. Health Servs.</w:t>
      </w:r>
      <w:r w:rsidR="00985CDC" w:rsidRPr="009F3C37">
        <w:rPr>
          <w:i/>
          <w:iCs/>
          <w:color w:val="000000" w:themeColor="text1"/>
        </w:rPr>
        <w:t xml:space="preserve"> v. </w:t>
      </w:r>
      <w:r w:rsidR="00647B3D" w:rsidRPr="009F3C37">
        <w:rPr>
          <w:i/>
          <w:iCs/>
          <w:color w:val="000000" w:themeColor="text1"/>
        </w:rPr>
        <w:t>Wrigley</w:t>
      </w:r>
      <w:r w:rsidR="00647B3D" w:rsidRPr="009F3C37">
        <w:rPr>
          <w:color w:val="000000" w:themeColor="text1"/>
        </w:rPr>
        <w:t>,</w:t>
      </w:r>
      <w:r w:rsidR="00A9788A" w:rsidRPr="009F3C37">
        <w:rPr>
          <w:i/>
          <w:iCs/>
          <w:color w:val="000000" w:themeColor="text1"/>
        </w:rPr>
        <w:t xml:space="preserve"> </w:t>
      </w:r>
      <w:r w:rsidR="00A9788A" w:rsidRPr="009F3C37">
        <w:rPr>
          <w:color w:val="000000" w:themeColor="text1"/>
        </w:rPr>
        <w:t>2025 ND 26, 17, 16 N.W.3d 902)</w:t>
      </w:r>
      <w:r w:rsidR="00F861C3" w:rsidRPr="009F3C37">
        <w:rPr>
          <w:color w:val="000000" w:themeColor="text1"/>
        </w:rPr>
        <w:t>).</w:t>
      </w:r>
    </w:p>
    <w:p w14:paraId="34E13450" w14:textId="4E6FE5DF" w:rsidR="00A02FB2" w:rsidRPr="009F3C37" w:rsidRDefault="00E41E9D" w:rsidP="00A06012">
      <w:pPr>
        <w:spacing w:line="480" w:lineRule="auto"/>
        <w:ind w:firstLine="720"/>
        <w:jc w:val="both"/>
        <w:rPr>
          <w:color w:val="000000" w:themeColor="text1"/>
        </w:rPr>
      </w:pPr>
      <w:r w:rsidRPr="009F3C37">
        <w:rPr>
          <w:color w:val="000000" w:themeColor="text1"/>
        </w:rPr>
        <w:t xml:space="preserve">Notwithstanding this </w:t>
      </w:r>
      <w:r w:rsidR="00835362" w:rsidRPr="009F3C37">
        <w:rPr>
          <w:color w:val="000000" w:themeColor="text1"/>
        </w:rPr>
        <w:t>C</w:t>
      </w:r>
      <w:r w:rsidRPr="009F3C37">
        <w:rPr>
          <w:color w:val="000000" w:themeColor="text1"/>
        </w:rPr>
        <w:t xml:space="preserve">ourt’s pronouncements on the </w:t>
      </w:r>
      <w:r w:rsidR="000E7811" w:rsidRPr="009F3C37">
        <w:rPr>
          <w:color w:val="000000" w:themeColor="text1"/>
        </w:rPr>
        <w:t>importance</w:t>
      </w:r>
      <w:commentRangeStart w:id="7"/>
      <w:r w:rsidRPr="009F3C37">
        <w:rPr>
          <w:color w:val="000000" w:themeColor="text1"/>
        </w:rPr>
        <w:t xml:space="preserve"> </w:t>
      </w:r>
      <w:commentRangeEnd w:id="7"/>
      <w:r w:rsidR="009F3C37" w:rsidRPr="009F3C37">
        <w:rPr>
          <w:rStyle w:val="CommentReference"/>
          <w:color w:val="000000" w:themeColor="text1"/>
          <w:sz w:val="24"/>
          <w:szCs w:val="24"/>
        </w:rPr>
        <w:commentReference w:id="7"/>
      </w:r>
      <w:r w:rsidRPr="009F3C37">
        <w:rPr>
          <w:color w:val="000000" w:themeColor="text1"/>
        </w:rPr>
        <w:t xml:space="preserve">of </w:t>
      </w:r>
      <w:r w:rsidR="00807696" w:rsidRPr="009F3C37">
        <w:rPr>
          <w:color w:val="000000" w:themeColor="text1"/>
        </w:rPr>
        <w:t xml:space="preserve">the </w:t>
      </w:r>
      <w:r w:rsidR="008E11F8" w:rsidRPr="009F3C37">
        <w:rPr>
          <w:color w:val="000000" w:themeColor="text1"/>
        </w:rPr>
        <w:t xml:space="preserve">text, history, and </w:t>
      </w:r>
      <w:r w:rsidR="009F1941" w:rsidRPr="009F3C37">
        <w:rPr>
          <w:color w:val="000000" w:themeColor="text1"/>
        </w:rPr>
        <w:t>nature</w:t>
      </w:r>
      <w:r w:rsidR="008E11F8" w:rsidRPr="009F3C37">
        <w:rPr>
          <w:color w:val="000000" w:themeColor="text1"/>
        </w:rPr>
        <w:t xml:space="preserve"> of </w:t>
      </w:r>
      <w:r w:rsidRPr="009F3C37">
        <w:rPr>
          <w:color w:val="000000" w:themeColor="text1"/>
        </w:rPr>
        <w:t>North Dakot</w:t>
      </w:r>
      <w:r w:rsidR="00E66B64" w:rsidRPr="009F3C37">
        <w:rPr>
          <w:color w:val="000000" w:themeColor="text1"/>
        </w:rPr>
        <w:t>a’s Constitution</w:t>
      </w:r>
      <w:r w:rsidR="009C0A0E" w:rsidRPr="009F3C37">
        <w:rPr>
          <w:color w:val="000000" w:themeColor="text1"/>
        </w:rPr>
        <w:t xml:space="preserve"> when resolving </w:t>
      </w:r>
      <w:r w:rsidR="00F504DA" w:rsidRPr="009F3C37">
        <w:rPr>
          <w:color w:val="000000" w:themeColor="text1"/>
        </w:rPr>
        <w:t>state</w:t>
      </w:r>
      <w:r w:rsidR="00917DBB" w:rsidRPr="009F3C37">
        <w:rPr>
          <w:color w:val="000000" w:themeColor="text1"/>
        </w:rPr>
        <w:t xml:space="preserve"> </w:t>
      </w:r>
      <w:r w:rsidR="009C0A0E" w:rsidRPr="009F3C37">
        <w:rPr>
          <w:color w:val="000000" w:themeColor="text1"/>
        </w:rPr>
        <w:t>constitutional claims,</w:t>
      </w:r>
      <w:r w:rsidR="0077100A" w:rsidRPr="009F3C37">
        <w:rPr>
          <w:color w:val="000000" w:themeColor="text1"/>
        </w:rPr>
        <w:t xml:space="preserve"> </w:t>
      </w:r>
      <w:r w:rsidR="00E66B64" w:rsidRPr="009F3C37">
        <w:rPr>
          <w:color w:val="000000" w:themeColor="text1"/>
        </w:rPr>
        <w:t>t</w:t>
      </w:r>
      <w:r w:rsidRPr="009F3C37">
        <w:rPr>
          <w:color w:val="000000" w:themeColor="text1"/>
        </w:rPr>
        <w:t xml:space="preserve">he decision below </w:t>
      </w:r>
      <w:r w:rsidR="009C0A0E" w:rsidRPr="009F3C37">
        <w:rPr>
          <w:color w:val="000000" w:themeColor="text1"/>
        </w:rPr>
        <w:t>interpreted</w:t>
      </w:r>
      <w:r w:rsidRPr="009F3C37">
        <w:rPr>
          <w:color w:val="000000" w:themeColor="text1"/>
        </w:rPr>
        <w:t xml:space="preserve"> this Court’s precedent to require it to “align its equal protection analysis with that of the United States Supreme Court.” </w:t>
      </w:r>
      <w:r w:rsidRPr="009F3C37">
        <w:t xml:space="preserve">T.D. Lower Court </w:t>
      </w:r>
      <w:r w:rsidRPr="009F3C37">
        <w:lastRenderedPageBreak/>
        <w:t>Opinion, ¶ 66.</w:t>
      </w:r>
      <w:r w:rsidRPr="009F3C37">
        <w:rPr>
          <w:color w:val="000000" w:themeColor="text1"/>
        </w:rPr>
        <w:t xml:space="preserve"> </w:t>
      </w:r>
      <w:r w:rsidR="001D1A41" w:rsidRPr="009F3C37">
        <w:rPr>
          <w:color w:val="000000" w:themeColor="text1"/>
        </w:rPr>
        <w:t>Moreover, w</w:t>
      </w:r>
      <w:r w:rsidR="009A2689" w:rsidRPr="009F3C37">
        <w:rPr>
          <w:color w:val="000000" w:themeColor="text1"/>
        </w:rPr>
        <w:t xml:space="preserve">hile state courts may </w:t>
      </w:r>
      <w:r w:rsidR="00741F49" w:rsidRPr="009F3C37">
        <w:rPr>
          <w:color w:val="000000" w:themeColor="text1"/>
        </w:rPr>
        <w:t>look</w:t>
      </w:r>
      <w:r w:rsidR="009A2689" w:rsidRPr="009F3C37">
        <w:rPr>
          <w:color w:val="000000" w:themeColor="text1"/>
        </w:rPr>
        <w:t xml:space="preserve"> to federal constitutional precedent as persuasive</w:t>
      </w:r>
      <w:r w:rsidR="001D1A41" w:rsidRPr="009F3C37">
        <w:rPr>
          <w:color w:val="000000" w:themeColor="text1"/>
        </w:rPr>
        <w:t xml:space="preserve"> authority in interpretin</w:t>
      </w:r>
      <w:r w:rsidR="00741F49" w:rsidRPr="009F3C37">
        <w:rPr>
          <w:color w:val="000000" w:themeColor="text1"/>
        </w:rPr>
        <w:t>g state provisions</w:t>
      </w:r>
      <w:r w:rsidR="009A2689" w:rsidRPr="009F3C37">
        <w:rPr>
          <w:color w:val="000000" w:themeColor="text1"/>
        </w:rPr>
        <w:t xml:space="preserve">, the court below </w:t>
      </w:r>
      <w:r w:rsidR="00E135EF" w:rsidRPr="009F3C37">
        <w:rPr>
          <w:color w:val="000000" w:themeColor="text1"/>
        </w:rPr>
        <w:t>appeared to go</w:t>
      </w:r>
      <w:r w:rsidR="009A2689" w:rsidRPr="009F3C37">
        <w:rPr>
          <w:color w:val="000000" w:themeColor="text1"/>
        </w:rPr>
        <w:t xml:space="preserve"> further and</w:t>
      </w:r>
      <w:r w:rsidR="009A2689" w:rsidRPr="009F3C37">
        <w:t xml:space="preserve"> </w:t>
      </w:r>
      <w:r w:rsidRPr="009F3C37">
        <w:t xml:space="preserve">assumed that a “compelling reason” was necessary to “give meaning to Sections [22] and [21] of our State Constitution relating to Equal Protection . . . different from that which the United States Supreme Court may give to the Equal Protection [Clause] of the Fourteenth Amendment to the United States Constitution.”) T.D. Lower Court Opinion, at ¶ 54 (quoting </w:t>
      </w:r>
      <w:r w:rsidRPr="009F3C37">
        <w:rPr>
          <w:i/>
          <w:iCs/>
        </w:rPr>
        <w:t>Snyder’s Drug Store</w:t>
      </w:r>
      <w:r w:rsidRPr="009F3C37">
        <w:t xml:space="preserve">, 219 N.W.2d 140, 150 (N.D. 1974)). </w:t>
      </w:r>
      <w:r w:rsidR="005A7584" w:rsidRPr="009F3C37">
        <w:t>Accordingly</w:t>
      </w:r>
      <w:r w:rsidR="00A06012" w:rsidRPr="009F3C37">
        <w:t xml:space="preserve">, </w:t>
      </w:r>
      <w:r w:rsidR="00A06012" w:rsidRPr="009F3C37">
        <w:rPr>
          <w:color w:val="000000" w:themeColor="text1"/>
        </w:rPr>
        <w:t>t</w:t>
      </w:r>
      <w:r w:rsidR="00A02FB2" w:rsidRPr="009F3C37">
        <w:rPr>
          <w:color w:val="000000" w:themeColor="text1"/>
        </w:rPr>
        <w:t>he court</w:t>
      </w:r>
      <w:r w:rsidR="005B41D1" w:rsidRPr="009F3C37">
        <w:rPr>
          <w:color w:val="000000" w:themeColor="text1"/>
        </w:rPr>
        <w:t xml:space="preserve"> resolved the plaintiff's claims under North Dakota’s inalienable rights </w:t>
      </w:r>
      <w:r w:rsidR="00F504DA" w:rsidRPr="009F3C37">
        <w:rPr>
          <w:color w:val="000000" w:themeColor="text1"/>
        </w:rPr>
        <w:t xml:space="preserve">and </w:t>
      </w:r>
      <w:r w:rsidR="005B41D1" w:rsidRPr="009F3C37">
        <w:rPr>
          <w:color w:val="000000" w:themeColor="text1"/>
        </w:rPr>
        <w:t>privileges and immunities clause</w:t>
      </w:r>
      <w:r w:rsidR="00F504DA" w:rsidRPr="009F3C37">
        <w:rPr>
          <w:color w:val="000000" w:themeColor="text1"/>
        </w:rPr>
        <w:t xml:space="preserve">s </w:t>
      </w:r>
      <w:r w:rsidR="008B6704" w:rsidRPr="009F3C37">
        <w:rPr>
          <w:color w:val="000000" w:themeColor="text1"/>
        </w:rPr>
        <w:t xml:space="preserve">by </w:t>
      </w:r>
      <w:r w:rsidR="005F4312" w:rsidRPr="009F3C37">
        <w:rPr>
          <w:color w:val="000000" w:themeColor="text1"/>
        </w:rPr>
        <w:t xml:space="preserve">largely </w:t>
      </w:r>
      <w:r w:rsidR="00BC42EF" w:rsidRPr="009F3C37">
        <w:rPr>
          <w:color w:val="000000" w:themeColor="text1"/>
        </w:rPr>
        <w:t>replicating</w:t>
      </w:r>
      <w:r w:rsidR="00A02FB2" w:rsidRPr="009F3C37">
        <w:rPr>
          <w:color w:val="000000" w:themeColor="text1"/>
        </w:rPr>
        <w:t xml:space="preserve"> the U.S. Supreme Court’s analysis in </w:t>
      </w:r>
      <w:r w:rsidR="00A02FB2" w:rsidRPr="009F3C37">
        <w:rPr>
          <w:i/>
          <w:iCs/>
          <w:color w:val="000000" w:themeColor="text1"/>
        </w:rPr>
        <w:t>United States v. Skrmetti</w:t>
      </w:r>
      <w:r w:rsidR="00807696" w:rsidRPr="009F3C37">
        <w:rPr>
          <w:color w:val="000000" w:themeColor="text1"/>
        </w:rPr>
        <w:t>.</w:t>
      </w:r>
      <w:r w:rsidR="00A06012" w:rsidRPr="009F3C37">
        <w:rPr>
          <w:color w:val="000000" w:themeColor="text1"/>
        </w:rPr>
        <w:t xml:space="preserve"> </w:t>
      </w:r>
      <w:r w:rsidR="00A02FB2" w:rsidRPr="009F3C37">
        <w:rPr>
          <w:color w:val="000000" w:themeColor="text1"/>
        </w:rPr>
        <w:t>605 U.S. 495 (2025)</w:t>
      </w:r>
      <w:r w:rsidR="005B41D1" w:rsidRPr="009F3C37">
        <w:rPr>
          <w:color w:val="000000" w:themeColor="text1"/>
        </w:rPr>
        <w:t>.</w:t>
      </w:r>
      <w:r w:rsidR="004650FB" w:rsidRPr="009F3C37">
        <w:rPr>
          <w:color w:val="000000" w:themeColor="text1"/>
        </w:rPr>
        <w:t xml:space="preserve"> </w:t>
      </w:r>
    </w:p>
    <w:p w14:paraId="5103AAF0" w14:textId="072EBEE3" w:rsidR="00D700DB" w:rsidRPr="009F3C37" w:rsidRDefault="009222C9" w:rsidP="00B43101">
      <w:pPr>
        <w:spacing w:line="480" w:lineRule="auto"/>
        <w:ind w:firstLine="720"/>
        <w:jc w:val="both"/>
        <w:rPr>
          <w:color w:val="000000" w:themeColor="text1"/>
        </w:rPr>
      </w:pPr>
      <w:r w:rsidRPr="009F3C37">
        <w:rPr>
          <w:color w:val="000000" w:themeColor="text1"/>
        </w:rPr>
        <w:t>Th</w:t>
      </w:r>
      <w:r w:rsidR="004B2C07" w:rsidRPr="009F3C37">
        <w:rPr>
          <w:color w:val="000000" w:themeColor="text1"/>
        </w:rPr>
        <w:t>is</w:t>
      </w:r>
      <w:r w:rsidRPr="009F3C37">
        <w:rPr>
          <w:color w:val="000000" w:themeColor="text1"/>
        </w:rPr>
        <w:t xml:space="preserve"> p</w:t>
      </w:r>
      <w:r w:rsidR="00656A12" w:rsidRPr="009F3C37">
        <w:rPr>
          <w:color w:val="000000" w:themeColor="text1"/>
        </w:rPr>
        <w:t xml:space="preserve">resumptive alignment </w:t>
      </w:r>
      <w:r w:rsidR="00242DBF" w:rsidRPr="009F3C37">
        <w:rPr>
          <w:color w:val="000000" w:themeColor="text1"/>
        </w:rPr>
        <w:t xml:space="preserve">of </w:t>
      </w:r>
      <w:r w:rsidR="007D632E" w:rsidRPr="009F3C37">
        <w:rPr>
          <w:color w:val="000000" w:themeColor="text1"/>
        </w:rPr>
        <w:t>North Dakota’s</w:t>
      </w:r>
      <w:r w:rsidR="00742969" w:rsidRPr="009F3C37">
        <w:rPr>
          <w:color w:val="000000" w:themeColor="text1"/>
        </w:rPr>
        <w:t xml:space="preserve"> distinct state constitutional</w:t>
      </w:r>
      <w:r w:rsidR="007D632E" w:rsidRPr="009F3C37">
        <w:rPr>
          <w:color w:val="000000" w:themeColor="text1"/>
        </w:rPr>
        <w:t xml:space="preserve"> </w:t>
      </w:r>
      <w:r w:rsidR="00807696" w:rsidRPr="009F3C37">
        <w:rPr>
          <w:color w:val="000000" w:themeColor="text1"/>
        </w:rPr>
        <w:t xml:space="preserve">protections </w:t>
      </w:r>
      <w:r w:rsidR="00656A12" w:rsidRPr="009F3C37">
        <w:rPr>
          <w:color w:val="000000" w:themeColor="text1"/>
        </w:rPr>
        <w:t xml:space="preserve">with </w:t>
      </w:r>
      <w:r w:rsidR="007D632E" w:rsidRPr="009F3C37">
        <w:rPr>
          <w:color w:val="000000" w:themeColor="text1"/>
        </w:rPr>
        <w:t xml:space="preserve">the federal Equal Protection Clause </w:t>
      </w:r>
      <w:r w:rsidR="00656A12" w:rsidRPr="009F3C37">
        <w:rPr>
          <w:color w:val="000000" w:themeColor="text1"/>
        </w:rPr>
        <w:t xml:space="preserve">is </w:t>
      </w:r>
      <w:r w:rsidR="00F4368A" w:rsidRPr="009F3C37">
        <w:rPr>
          <w:color w:val="000000" w:themeColor="text1"/>
        </w:rPr>
        <w:t>inconsistent with this Court’s prior precedent</w:t>
      </w:r>
      <w:r w:rsidR="00EA5325" w:rsidRPr="009F3C37">
        <w:rPr>
          <w:color w:val="000000" w:themeColor="text1"/>
        </w:rPr>
        <w:t xml:space="preserve"> </w:t>
      </w:r>
      <w:r w:rsidR="004648FD" w:rsidRPr="009F3C37">
        <w:rPr>
          <w:color w:val="000000" w:themeColor="text1"/>
        </w:rPr>
        <w:t>and</w:t>
      </w:r>
      <w:r w:rsidR="009D1EA4" w:rsidRPr="009F3C37">
        <w:rPr>
          <w:color w:val="000000" w:themeColor="text1"/>
        </w:rPr>
        <w:t xml:space="preserve"> undermines the role of </w:t>
      </w:r>
      <w:r w:rsidR="00F4368A" w:rsidRPr="009F3C37">
        <w:rPr>
          <w:color w:val="000000" w:themeColor="text1"/>
        </w:rPr>
        <w:t>state constitutions in our federalist system.</w:t>
      </w:r>
      <w:r w:rsidR="00B43101" w:rsidRPr="009F3C37">
        <w:rPr>
          <w:color w:val="000000" w:themeColor="text1"/>
        </w:rPr>
        <w:t xml:space="preserve"> </w:t>
      </w:r>
      <w:r w:rsidR="008C2A59" w:rsidRPr="009F3C37">
        <w:rPr>
          <w:color w:val="000000" w:themeColor="text1"/>
        </w:rPr>
        <w:t xml:space="preserve">First, presumptive alignment </w:t>
      </w:r>
      <w:r w:rsidR="00FA0669" w:rsidRPr="009F3C37">
        <w:rPr>
          <w:color w:val="000000" w:themeColor="text1"/>
        </w:rPr>
        <w:t>hinders</w:t>
      </w:r>
      <w:r w:rsidR="008C2A59" w:rsidRPr="009F3C37">
        <w:rPr>
          <w:color w:val="000000" w:themeColor="text1"/>
        </w:rPr>
        <w:t xml:space="preserve"> North Dakota </w:t>
      </w:r>
      <w:r w:rsidR="00D33570" w:rsidRPr="009F3C37">
        <w:rPr>
          <w:color w:val="000000" w:themeColor="text1"/>
        </w:rPr>
        <w:t xml:space="preserve">courts </w:t>
      </w:r>
      <w:r w:rsidR="00FA0669" w:rsidRPr="009F3C37">
        <w:rPr>
          <w:color w:val="000000" w:themeColor="text1"/>
        </w:rPr>
        <w:t>from applying</w:t>
      </w:r>
      <w:r w:rsidR="00656A12" w:rsidRPr="009F3C37">
        <w:rPr>
          <w:color w:val="000000" w:themeColor="text1"/>
        </w:rPr>
        <w:t xml:space="preserve"> </w:t>
      </w:r>
      <w:r w:rsidR="00E84C54" w:rsidRPr="009F3C37">
        <w:rPr>
          <w:color w:val="000000" w:themeColor="text1"/>
        </w:rPr>
        <w:t xml:space="preserve">interpretive principles </w:t>
      </w:r>
      <w:r w:rsidR="00F60DAC" w:rsidRPr="009F3C37">
        <w:rPr>
          <w:color w:val="000000" w:themeColor="text1"/>
        </w:rPr>
        <w:t xml:space="preserve">already </w:t>
      </w:r>
      <w:r w:rsidR="00E84C54" w:rsidRPr="009F3C37">
        <w:rPr>
          <w:color w:val="000000" w:themeColor="text1"/>
        </w:rPr>
        <w:t>embraced by this Court</w:t>
      </w:r>
      <w:r w:rsidR="00BB3A44" w:rsidRPr="009F3C37">
        <w:rPr>
          <w:color w:val="000000" w:themeColor="text1"/>
        </w:rPr>
        <w:t xml:space="preserve">. </w:t>
      </w:r>
      <w:r w:rsidR="00A13CE7" w:rsidRPr="009F3C37">
        <w:rPr>
          <w:color w:val="000000" w:themeColor="text1"/>
        </w:rPr>
        <w:t xml:space="preserve">This Court has been clear that </w:t>
      </w:r>
      <w:r w:rsidR="00941243" w:rsidRPr="009F3C37">
        <w:rPr>
          <w:color w:val="000000" w:themeColor="text1"/>
        </w:rPr>
        <w:t>when interpreting North Dakota’s constitution,</w:t>
      </w:r>
      <w:r w:rsidR="001A48F8" w:rsidRPr="009F3C37">
        <w:rPr>
          <w:color w:val="000000" w:themeColor="text1"/>
        </w:rPr>
        <w:t xml:space="preserve"> </w:t>
      </w:r>
      <w:r w:rsidR="00A13CE7" w:rsidRPr="009F3C37">
        <w:rPr>
          <w:color w:val="000000" w:themeColor="text1"/>
        </w:rPr>
        <w:t>jurists should</w:t>
      </w:r>
      <w:r w:rsidR="00F90FB3" w:rsidRPr="009F3C37">
        <w:rPr>
          <w:color w:val="000000" w:themeColor="text1"/>
        </w:rPr>
        <w:t xml:space="preserve"> engage in holistic review,</w:t>
      </w:r>
      <w:r w:rsidR="00A13CE7" w:rsidRPr="009F3C37">
        <w:rPr>
          <w:color w:val="000000" w:themeColor="text1"/>
        </w:rPr>
        <w:t xml:space="preserve"> </w:t>
      </w:r>
      <w:r w:rsidR="00980699" w:rsidRPr="009F3C37">
        <w:rPr>
          <w:color w:val="000000" w:themeColor="text1"/>
        </w:rPr>
        <w:t>“</w:t>
      </w:r>
      <w:r w:rsidR="00E90303" w:rsidRPr="009F3C37">
        <w:rPr>
          <w:color w:val="000000" w:themeColor="text1"/>
        </w:rPr>
        <w:t>examin</w:t>
      </w:r>
      <w:r w:rsidR="00F90FB3" w:rsidRPr="009F3C37">
        <w:rPr>
          <w:color w:val="000000" w:themeColor="text1"/>
        </w:rPr>
        <w:t>[ing]</w:t>
      </w:r>
      <w:r w:rsidR="00E90303" w:rsidRPr="009F3C37">
        <w:rPr>
          <w:color w:val="000000" w:themeColor="text1"/>
        </w:rPr>
        <w:t xml:space="preserve"> the whole instrument in order to determine the true intention of every part so as to give effect to each section and clause</w:t>
      </w:r>
      <w:r w:rsidR="009547B2" w:rsidRPr="009F3C37">
        <w:rPr>
          <w:color w:val="000000" w:themeColor="text1"/>
        </w:rPr>
        <w:t>,</w:t>
      </w:r>
      <w:r w:rsidR="00E90303" w:rsidRPr="009F3C37">
        <w:rPr>
          <w:color w:val="000000" w:themeColor="text1"/>
        </w:rPr>
        <w:t>”</w:t>
      </w:r>
      <w:r w:rsidR="00E90303" w:rsidRPr="009F3C37">
        <w:rPr>
          <w:i/>
          <w:iCs/>
          <w:color w:val="000000" w:themeColor="text1"/>
        </w:rPr>
        <w:t xml:space="preserve"> </w:t>
      </w:r>
      <w:r w:rsidR="009547B2" w:rsidRPr="009F3C37">
        <w:rPr>
          <w:color w:val="000000" w:themeColor="text1"/>
        </w:rPr>
        <w:t xml:space="preserve">and </w:t>
      </w:r>
      <w:r w:rsidR="003C76B5" w:rsidRPr="009F3C37">
        <w:rPr>
          <w:color w:val="000000" w:themeColor="text1"/>
        </w:rPr>
        <w:t xml:space="preserve">that </w:t>
      </w:r>
      <w:r w:rsidR="004821E1" w:rsidRPr="009F3C37">
        <w:rPr>
          <w:color w:val="000000" w:themeColor="text1"/>
        </w:rPr>
        <w:t xml:space="preserve">they should </w:t>
      </w:r>
      <w:r w:rsidR="009547B2" w:rsidRPr="009F3C37">
        <w:rPr>
          <w:color w:val="000000" w:themeColor="text1"/>
        </w:rPr>
        <w:t>interpret constitutional text “in the light of history.”</w:t>
      </w:r>
      <w:r w:rsidR="009547B2" w:rsidRPr="009F3C37">
        <w:rPr>
          <w:i/>
          <w:iCs/>
          <w:color w:val="000000" w:themeColor="text1"/>
        </w:rPr>
        <w:t xml:space="preserve"> </w:t>
      </w:r>
      <w:r w:rsidR="00E90303" w:rsidRPr="009F3C37">
        <w:rPr>
          <w:i/>
          <w:iCs/>
          <w:color w:val="000000" w:themeColor="text1"/>
        </w:rPr>
        <w:t>Access Indep. Health Servs.,</w:t>
      </w:r>
      <w:r w:rsidR="00E90303" w:rsidRPr="009F3C37">
        <w:rPr>
          <w:color w:val="000000" w:themeColor="text1"/>
        </w:rPr>
        <w:t xml:space="preserve"> ¶ 88 (Tufte, J., dissenting) (quotations and citations omitted</w:t>
      </w:r>
      <w:r w:rsidR="00980699" w:rsidRPr="009F3C37">
        <w:rPr>
          <w:color w:val="000000" w:themeColor="text1"/>
        </w:rPr>
        <w:t>)</w:t>
      </w:r>
      <w:r w:rsidR="009547B2" w:rsidRPr="009F3C37">
        <w:rPr>
          <w:color w:val="000000" w:themeColor="text1"/>
        </w:rPr>
        <w:t xml:space="preserve">; </w:t>
      </w:r>
      <w:r w:rsidR="009A327B" w:rsidRPr="009F3C37">
        <w:rPr>
          <w:i/>
          <w:iCs/>
          <w:color w:val="000000" w:themeColor="text1"/>
        </w:rPr>
        <w:t>State v. Allesi,</w:t>
      </w:r>
      <w:r w:rsidR="00775CD5" w:rsidRPr="009F3C37">
        <w:rPr>
          <w:color w:val="000000" w:themeColor="text1"/>
        </w:rPr>
        <w:t xml:space="preserve"> </w:t>
      </w:r>
      <w:r w:rsidR="009A327B" w:rsidRPr="009F3C37">
        <w:rPr>
          <w:color w:val="000000" w:themeColor="text1"/>
        </w:rPr>
        <w:t>216 N.W.2d 805,</w:t>
      </w:r>
      <w:r w:rsidR="001007BC" w:rsidRPr="009F3C37">
        <w:rPr>
          <w:color w:val="000000" w:themeColor="text1"/>
        </w:rPr>
        <w:t xml:space="preserve"> </w:t>
      </w:r>
      <w:r w:rsidR="009A327B" w:rsidRPr="009F3C37">
        <w:rPr>
          <w:color w:val="000000" w:themeColor="text1"/>
        </w:rPr>
        <w:t>817 (N.D. 1974)</w:t>
      </w:r>
      <w:r w:rsidR="009547B2" w:rsidRPr="009F3C37">
        <w:rPr>
          <w:color w:val="000000" w:themeColor="text1"/>
        </w:rPr>
        <w:t>.</w:t>
      </w:r>
      <w:r w:rsidR="001007BC" w:rsidRPr="009F3C37">
        <w:rPr>
          <w:color w:val="000000" w:themeColor="text1"/>
        </w:rPr>
        <w:t xml:space="preserve"> </w:t>
      </w:r>
      <w:r w:rsidR="00AA4F42" w:rsidRPr="009F3C37">
        <w:rPr>
          <w:color w:val="000000" w:themeColor="text1"/>
        </w:rPr>
        <w:t>Presumptive</w:t>
      </w:r>
      <w:r w:rsidR="00466DA7" w:rsidRPr="009F3C37">
        <w:rPr>
          <w:color w:val="000000" w:themeColor="text1"/>
        </w:rPr>
        <w:t xml:space="preserve">ly aligning </w:t>
      </w:r>
      <w:r w:rsidR="00ED6FA5" w:rsidRPr="009F3C37">
        <w:rPr>
          <w:color w:val="000000" w:themeColor="text1"/>
        </w:rPr>
        <w:t>North Dakota</w:t>
      </w:r>
      <w:r w:rsidR="00F45A76" w:rsidRPr="009F3C37">
        <w:rPr>
          <w:color w:val="000000" w:themeColor="text1"/>
        </w:rPr>
        <w:t xml:space="preserve"> constitutional protections with</w:t>
      </w:r>
      <w:r w:rsidR="00466DA7" w:rsidRPr="009F3C37">
        <w:rPr>
          <w:color w:val="000000" w:themeColor="text1"/>
        </w:rPr>
        <w:t xml:space="preserve"> federal constitutional rights</w:t>
      </w:r>
      <w:r w:rsidR="00AA4F42" w:rsidRPr="009F3C37">
        <w:rPr>
          <w:color w:val="000000" w:themeColor="text1"/>
        </w:rPr>
        <w:t xml:space="preserve"> </w:t>
      </w:r>
      <w:r w:rsidR="006739F1" w:rsidRPr="009F3C37">
        <w:rPr>
          <w:color w:val="000000" w:themeColor="text1"/>
        </w:rPr>
        <w:t>sidesteps</w:t>
      </w:r>
      <w:r w:rsidR="007B3AD8" w:rsidRPr="009F3C37">
        <w:rPr>
          <w:color w:val="000000" w:themeColor="text1"/>
        </w:rPr>
        <w:t xml:space="preserve"> </w:t>
      </w:r>
      <w:r w:rsidR="00EA0BF2" w:rsidRPr="009F3C37">
        <w:rPr>
          <w:color w:val="000000" w:themeColor="text1"/>
        </w:rPr>
        <w:t>both of these principles</w:t>
      </w:r>
      <w:r w:rsidR="007B3AD8" w:rsidRPr="009F3C37">
        <w:rPr>
          <w:color w:val="000000" w:themeColor="text1"/>
        </w:rPr>
        <w:t>:</w:t>
      </w:r>
      <w:r w:rsidR="00EA0BF2" w:rsidRPr="009F3C37">
        <w:rPr>
          <w:color w:val="000000" w:themeColor="text1"/>
        </w:rPr>
        <w:t xml:space="preserve"> </w:t>
      </w:r>
      <w:r w:rsidR="007B3AD8" w:rsidRPr="009F3C37">
        <w:rPr>
          <w:color w:val="000000" w:themeColor="text1"/>
        </w:rPr>
        <w:t>i</w:t>
      </w:r>
      <w:r w:rsidR="00EA0BF2" w:rsidRPr="009F3C37">
        <w:rPr>
          <w:color w:val="000000" w:themeColor="text1"/>
        </w:rPr>
        <w:t>t overlooks the ways</w:t>
      </w:r>
      <w:r w:rsidR="00D6363A" w:rsidRPr="009F3C37">
        <w:rPr>
          <w:color w:val="000000" w:themeColor="text1"/>
        </w:rPr>
        <w:t xml:space="preserve"> </w:t>
      </w:r>
      <w:r w:rsidR="00F45A76" w:rsidRPr="009F3C37">
        <w:rPr>
          <w:color w:val="000000" w:themeColor="text1"/>
        </w:rPr>
        <w:t xml:space="preserve">in </w:t>
      </w:r>
      <w:r w:rsidR="00D6363A" w:rsidRPr="009F3C37">
        <w:rPr>
          <w:color w:val="000000" w:themeColor="text1"/>
        </w:rPr>
        <w:t>which state constitutional provisions interact</w:t>
      </w:r>
      <w:r w:rsidR="00F45A76" w:rsidRPr="009F3C37">
        <w:rPr>
          <w:color w:val="000000" w:themeColor="text1"/>
        </w:rPr>
        <w:t xml:space="preserve"> </w:t>
      </w:r>
      <w:r w:rsidR="00DF2B0A" w:rsidRPr="009F3C37">
        <w:rPr>
          <w:color w:val="000000" w:themeColor="text1"/>
        </w:rPr>
        <w:t>and</w:t>
      </w:r>
      <w:r w:rsidR="00AA5A45" w:rsidRPr="009F3C37">
        <w:rPr>
          <w:color w:val="000000" w:themeColor="text1"/>
        </w:rPr>
        <w:t xml:space="preserve"> can</w:t>
      </w:r>
      <w:r w:rsidR="00B33E65" w:rsidRPr="009F3C37">
        <w:rPr>
          <w:color w:val="000000" w:themeColor="text1"/>
        </w:rPr>
        <w:t xml:space="preserve"> </w:t>
      </w:r>
      <w:r w:rsidR="00F04ADE" w:rsidRPr="009F3C37">
        <w:rPr>
          <w:color w:val="000000" w:themeColor="text1"/>
        </w:rPr>
        <w:t>bolster</w:t>
      </w:r>
      <w:r w:rsidR="00E01A27" w:rsidRPr="009F3C37">
        <w:rPr>
          <w:color w:val="000000" w:themeColor="text1"/>
        </w:rPr>
        <w:t xml:space="preserve"> </w:t>
      </w:r>
      <w:r w:rsidR="00B33E65" w:rsidRPr="009F3C37">
        <w:rPr>
          <w:color w:val="000000" w:themeColor="text1"/>
        </w:rPr>
        <w:t xml:space="preserve">state </w:t>
      </w:r>
      <w:r w:rsidR="00E01A27" w:rsidRPr="009F3C37">
        <w:rPr>
          <w:color w:val="000000" w:themeColor="text1"/>
        </w:rPr>
        <w:t>protections</w:t>
      </w:r>
      <w:r w:rsidR="00D97F13" w:rsidRPr="009F3C37">
        <w:rPr>
          <w:color w:val="000000" w:themeColor="text1"/>
        </w:rPr>
        <w:t>,</w:t>
      </w:r>
      <w:r w:rsidR="002A2763" w:rsidRPr="009F3C37">
        <w:rPr>
          <w:color w:val="000000" w:themeColor="text1"/>
        </w:rPr>
        <w:t xml:space="preserve"> </w:t>
      </w:r>
      <w:r w:rsidR="00D97F13" w:rsidRPr="009F3C37">
        <w:rPr>
          <w:i/>
          <w:iCs/>
          <w:color w:val="000000" w:themeColor="text1"/>
        </w:rPr>
        <w:t>e</w:t>
      </w:r>
      <w:r w:rsidR="001007BC" w:rsidRPr="009F3C37">
        <w:rPr>
          <w:i/>
          <w:iCs/>
          <w:color w:val="000000" w:themeColor="text1"/>
        </w:rPr>
        <w:t xml:space="preserve">.g. </w:t>
      </w:r>
      <w:r w:rsidR="00AF35B0" w:rsidRPr="009F3C37">
        <w:rPr>
          <w:i/>
          <w:iCs/>
          <w:color w:val="000000" w:themeColor="text1"/>
          <w:shd w:val="clear" w:color="auto" w:fill="FFFFFF"/>
        </w:rPr>
        <w:t>State ex rel. Cleveringa v. Klein</w:t>
      </w:r>
      <w:r w:rsidR="00AF35B0" w:rsidRPr="009F3C37">
        <w:rPr>
          <w:color w:val="000000" w:themeColor="text1"/>
          <w:shd w:val="clear" w:color="auto" w:fill="FFFFFF"/>
        </w:rPr>
        <w:t xml:space="preserve">, 63 N.D. 514, 249 N.W. 118, </w:t>
      </w:r>
      <w:r w:rsidR="00AF35B0" w:rsidRPr="009F3C37">
        <w:rPr>
          <w:color w:val="000000" w:themeColor="text1"/>
          <w:shd w:val="clear" w:color="auto" w:fill="FFFFFF"/>
        </w:rPr>
        <w:lastRenderedPageBreak/>
        <w:t>119 (1933) (finding that Section 20’s pronouncement that the Declaration of Rights “shall forever remain inviolate” places an “absolute” limitation on the legislative infringement of those rights</w:t>
      </w:r>
      <w:r w:rsidR="00206EB1" w:rsidRPr="009F3C37">
        <w:rPr>
          <w:color w:val="000000" w:themeColor="text1"/>
          <w:shd w:val="clear" w:color="auto" w:fill="FFFFFF"/>
        </w:rPr>
        <w:t>)</w:t>
      </w:r>
      <w:r w:rsidR="00A228D1" w:rsidRPr="009F3C37">
        <w:rPr>
          <w:color w:val="000000" w:themeColor="text1"/>
          <w:shd w:val="clear" w:color="auto" w:fill="FFFFFF"/>
        </w:rPr>
        <w:t>;</w:t>
      </w:r>
      <w:r w:rsidR="00D97F13" w:rsidRPr="009F3C37">
        <w:rPr>
          <w:color w:val="000000" w:themeColor="text1"/>
          <w:shd w:val="clear" w:color="auto" w:fill="FFFFFF"/>
        </w:rPr>
        <w:t xml:space="preserve"> a</w:t>
      </w:r>
      <w:r w:rsidR="00EA0BF2" w:rsidRPr="009F3C37">
        <w:rPr>
          <w:color w:val="000000" w:themeColor="text1"/>
          <w:shd w:val="clear" w:color="auto" w:fill="FFFFFF"/>
        </w:rPr>
        <w:t xml:space="preserve">nd it </w:t>
      </w:r>
      <w:r w:rsidR="00F641E1" w:rsidRPr="009F3C37">
        <w:rPr>
          <w:color w:val="000000" w:themeColor="text1"/>
          <w:shd w:val="clear" w:color="auto" w:fill="FFFFFF"/>
        </w:rPr>
        <w:t xml:space="preserve">anchors the </w:t>
      </w:r>
      <w:r w:rsidR="00D700DB" w:rsidRPr="009F3C37">
        <w:rPr>
          <w:color w:val="000000" w:themeColor="text1"/>
        </w:rPr>
        <w:t xml:space="preserve">meaning of North Dakota’s constitution to the U.S. Constitution, despite the fact that “the North Dakota Constitution has its origins in a dramatically different historical context” that predates incorporation of the federal Bill of Rights against the states. </w:t>
      </w:r>
      <w:r w:rsidR="008248B0">
        <w:rPr>
          <w:color w:val="000000" w:themeColor="text1"/>
        </w:rPr>
        <w:t xml:space="preserve">Hon. </w:t>
      </w:r>
      <w:r w:rsidR="00D700DB" w:rsidRPr="009F3C37">
        <w:rPr>
          <w:color w:val="000000" w:themeColor="text1"/>
        </w:rPr>
        <w:t xml:space="preserve">Jerod E. Tufte, </w:t>
      </w:r>
      <w:r w:rsidR="00D700DB" w:rsidRPr="009F3C37">
        <w:rPr>
          <w:i/>
          <w:iCs/>
          <w:color w:val="000000" w:themeColor="text1"/>
        </w:rPr>
        <w:t xml:space="preserve">The North Dakota Constitution: An Original Approach Since 1889, </w:t>
      </w:r>
      <w:r w:rsidR="00D700DB" w:rsidRPr="009F3C37">
        <w:rPr>
          <w:color w:val="000000" w:themeColor="text1"/>
        </w:rPr>
        <w:t xml:space="preserve">95 N.D. L. Rev. 417, 419 (2020). </w:t>
      </w:r>
    </w:p>
    <w:p w14:paraId="04C9A782" w14:textId="275DC091" w:rsidR="00357A2A" w:rsidRPr="009F3C37" w:rsidRDefault="00F641E1" w:rsidP="002D2272">
      <w:pPr>
        <w:spacing w:line="480" w:lineRule="auto"/>
        <w:ind w:firstLine="720"/>
        <w:jc w:val="both"/>
        <w:rPr>
          <w:color w:val="000000" w:themeColor="text1"/>
        </w:rPr>
      </w:pPr>
      <w:r w:rsidRPr="009F3C37">
        <w:rPr>
          <w:color w:val="000000" w:themeColor="text1"/>
        </w:rPr>
        <w:t>Second,</w:t>
      </w:r>
      <w:r w:rsidR="0040154C" w:rsidRPr="009F3C37">
        <w:rPr>
          <w:color w:val="000000" w:themeColor="text1"/>
        </w:rPr>
        <w:t xml:space="preserve"> </w:t>
      </w:r>
      <w:r w:rsidR="00BD00D4" w:rsidRPr="009F3C37">
        <w:rPr>
          <w:color w:val="000000" w:themeColor="text1"/>
        </w:rPr>
        <w:t xml:space="preserve">by </w:t>
      </w:r>
      <w:r w:rsidR="00BB3A44" w:rsidRPr="009F3C37">
        <w:rPr>
          <w:color w:val="000000" w:themeColor="text1"/>
        </w:rPr>
        <w:t>overlook</w:t>
      </w:r>
      <w:r w:rsidR="00BD00D4" w:rsidRPr="009F3C37">
        <w:rPr>
          <w:color w:val="000000" w:themeColor="text1"/>
        </w:rPr>
        <w:t>ing</w:t>
      </w:r>
      <w:r w:rsidR="00BB3A44" w:rsidRPr="009F3C37">
        <w:rPr>
          <w:color w:val="000000" w:themeColor="text1"/>
        </w:rPr>
        <w:t xml:space="preserve"> differences in the structure and function of </w:t>
      </w:r>
      <w:r w:rsidR="008C0DA5" w:rsidRPr="009F3C37">
        <w:rPr>
          <w:color w:val="000000" w:themeColor="text1"/>
        </w:rPr>
        <w:t xml:space="preserve">the federal </w:t>
      </w:r>
      <w:r w:rsidR="0045745A" w:rsidRPr="009F3C37">
        <w:rPr>
          <w:color w:val="000000" w:themeColor="text1"/>
        </w:rPr>
        <w:t>constitution</w:t>
      </w:r>
      <w:r w:rsidR="008C0DA5" w:rsidRPr="009F3C37">
        <w:rPr>
          <w:color w:val="000000" w:themeColor="text1"/>
        </w:rPr>
        <w:t xml:space="preserve"> and </w:t>
      </w:r>
      <w:r w:rsidR="00BB3A44" w:rsidRPr="009F3C37">
        <w:rPr>
          <w:color w:val="000000" w:themeColor="text1"/>
        </w:rPr>
        <w:t>state constitutions</w:t>
      </w:r>
      <w:r w:rsidR="00BD00D4" w:rsidRPr="009F3C37">
        <w:rPr>
          <w:color w:val="000000" w:themeColor="text1"/>
        </w:rPr>
        <w:t>, presumptive alignment</w:t>
      </w:r>
      <w:r w:rsidR="00BD48DC" w:rsidRPr="009F3C37">
        <w:rPr>
          <w:color w:val="000000" w:themeColor="text1"/>
        </w:rPr>
        <w:t xml:space="preserve"> </w:t>
      </w:r>
      <w:r w:rsidR="005856C7" w:rsidRPr="009F3C37">
        <w:rPr>
          <w:color w:val="000000" w:themeColor="text1"/>
        </w:rPr>
        <w:t xml:space="preserve">between </w:t>
      </w:r>
      <w:r w:rsidR="008935F2" w:rsidRPr="009F3C37">
        <w:rPr>
          <w:color w:val="000000" w:themeColor="text1"/>
        </w:rPr>
        <w:t xml:space="preserve">federal and </w:t>
      </w:r>
      <w:r w:rsidR="005856C7" w:rsidRPr="009F3C37">
        <w:rPr>
          <w:color w:val="000000" w:themeColor="text1"/>
        </w:rPr>
        <w:t xml:space="preserve">state constitutional protections </w:t>
      </w:r>
      <w:r w:rsidR="00FF41E0" w:rsidRPr="009F3C37">
        <w:rPr>
          <w:color w:val="000000" w:themeColor="text1"/>
        </w:rPr>
        <w:t xml:space="preserve">risks </w:t>
      </w:r>
      <w:r w:rsidR="00BD48DC" w:rsidRPr="009F3C37">
        <w:rPr>
          <w:color w:val="000000" w:themeColor="text1"/>
        </w:rPr>
        <w:t>undermin</w:t>
      </w:r>
      <w:r w:rsidR="00FF41E0" w:rsidRPr="009F3C37">
        <w:rPr>
          <w:color w:val="000000" w:themeColor="text1"/>
        </w:rPr>
        <w:t>ing</w:t>
      </w:r>
      <w:r w:rsidR="00BD48DC" w:rsidRPr="009F3C37">
        <w:rPr>
          <w:color w:val="000000" w:themeColor="text1"/>
        </w:rPr>
        <w:t xml:space="preserve"> the </w:t>
      </w:r>
      <w:r w:rsidR="00FE10C9" w:rsidRPr="009F3C37">
        <w:rPr>
          <w:color w:val="000000" w:themeColor="text1"/>
        </w:rPr>
        <w:t xml:space="preserve">“double security” </w:t>
      </w:r>
      <w:r w:rsidR="004B2ED4" w:rsidRPr="009F3C37">
        <w:rPr>
          <w:color w:val="000000" w:themeColor="text1"/>
        </w:rPr>
        <w:t xml:space="preserve">of </w:t>
      </w:r>
      <w:r w:rsidR="00BD48DC" w:rsidRPr="009F3C37">
        <w:rPr>
          <w:color w:val="000000" w:themeColor="text1"/>
        </w:rPr>
        <w:t>libert</w:t>
      </w:r>
      <w:r w:rsidR="004B2ED4" w:rsidRPr="009F3C37">
        <w:rPr>
          <w:color w:val="000000" w:themeColor="text1"/>
        </w:rPr>
        <w:t>y</w:t>
      </w:r>
      <w:r w:rsidR="000B0CE4" w:rsidRPr="009F3C37">
        <w:rPr>
          <w:color w:val="000000" w:themeColor="text1"/>
        </w:rPr>
        <w:t xml:space="preserve"> </w:t>
      </w:r>
      <w:commentRangeStart w:id="8"/>
      <w:commentRangeStart w:id="9"/>
      <w:r w:rsidR="00BD48DC" w:rsidRPr="009F3C37">
        <w:rPr>
          <w:color w:val="000000" w:themeColor="text1"/>
        </w:rPr>
        <w:t xml:space="preserve">inherent in </w:t>
      </w:r>
      <w:commentRangeEnd w:id="8"/>
      <w:r w:rsidR="009F3C37" w:rsidRPr="009F3C37">
        <w:rPr>
          <w:rStyle w:val="CommentReference"/>
          <w:color w:val="000000" w:themeColor="text1"/>
          <w:sz w:val="24"/>
          <w:szCs w:val="24"/>
        </w:rPr>
        <w:commentReference w:id="8"/>
      </w:r>
      <w:commentRangeEnd w:id="9"/>
      <w:r w:rsidR="00B76BCC" w:rsidRPr="009F3C37">
        <w:rPr>
          <w:rStyle w:val="CommentReference"/>
          <w:color w:val="000000" w:themeColor="text1"/>
          <w:sz w:val="24"/>
          <w:szCs w:val="24"/>
        </w:rPr>
        <w:commentReference w:id="9"/>
      </w:r>
      <w:r w:rsidR="00BD48DC" w:rsidRPr="009F3C37">
        <w:rPr>
          <w:color w:val="000000" w:themeColor="text1"/>
        </w:rPr>
        <w:t>federalism.</w:t>
      </w:r>
      <w:r w:rsidR="002D2272" w:rsidRPr="009F3C37">
        <w:rPr>
          <w:color w:val="000000" w:themeColor="text1"/>
        </w:rPr>
        <w:t xml:space="preserve"> </w:t>
      </w:r>
      <w:r w:rsidR="004B2ED4" w:rsidRPr="009F3C37">
        <w:rPr>
          <w:i/>
          <w:iCs/>
          <w:color w:val="000000" w:themeColor="text1"/>
        </w:rPr>
        <w:t>Federalist 51</w:t>
      </w:r>
      <w:r w:rsidR="004B2ED4" w:rsidRPr="009F3C37">
        <w:rPr>
          <w:color w:val="000000" w:themeColor="text1"/>
        </w:rPr>
        <w:t>.</w:t>
      </w:r>
      <w:r w:rsidR="004B2ED4" w:rsidRPr="009F3C37">
        <w:rPr>
          <w:i/>
          <w:iCs/>
          <w:color w:val="000000" w:themeColor="text1"/>
        </w:rPr>
        <w:t xml:space="preserve"> </w:t>
      </w:r>
      <w:r w:rsidR="00FD5A75" w:rsidRPr="009F3C37">
        <w:rPr>
          <w:color w:val="000000" w:themeColor="text1"/>
        </w:rPr>
        <w:t xml:space="preserve">Unlike state courts, </w:t>
      </w:r>
      <w:r w:rsidR="00A26DD9" w:rsidRPr="009F3C37">
        <w:rPr>
          <w:color w:val="000000" w:themeColor="text1"/>
        </w:rPr>
        <w:t>f</w:t>
      </w:r>
      <w:r w:rsidR="00911EFD" w:rsidRPr="009F3C37">
        <w:rPr>
          <w:color w:val="000000" w:themeColor="text1"/>
        </w:rPr>
        <w:t xml:space="preserve">ederal courts </w:t>
      </w:r>
      <w:r w:rsidR="00367E03" w:rsidRPr="009F3C37">
        <w:rPr>
          <w:color w:val="000000" w:themeColor="text1"/>
        </w:rPr>
        <w:t xml:space="preserve">must </w:t>
      </w:r>
      <w:r w:rsidR="00D45997" w:rsidRPr="009F3C37">
        <w:rPr>
          <w:color w:val="000000" w:themeColor="text1"/>
        </w:rPr>
        <w:t xml:space="preserve">act with </w:t>
      </w:r>
      <w:r w:rsidR="00C30882" w:rsidRPr="009F3C37">
        <w:rPr>
          <w:color w:val="000000" w:themeColor="text1"/>
        </w:rPr>
        <w:t xml:space="preserve">heightened </w:t>
      </w:r>
      <w:r w:rsidR="00D45997" w:rsidRPr="009F3C37">
        <w:rPr>
          <w:color w:val="000000" w:themeColor="text1"/>
        </w:rPr>
        <w:t>restraint in federal constitutional cases “in view of the number of people affected and the range of jurisdictions implicated</w:t>
      </w:r>
      <w:r w:rsidR="00FF41E0" w:rsidRPr="009F3C37">
        <w:rPr>
          <w:color w:val="000000" w:themeColor="text1"/>
        </w:rPr>
        <w:t>.</w:t>
      </w:r>
      <w:r w:rsidR="00D45997" w:rsidRPr="009F3C37">
        <w:rPr>
          <w:color w:val="000000" w:themeColor="text1"/>
        </w:rPr>
        <w:t>”</w:t>
      </w:r>
      <w:r w:rsidR="00E33AB7" w:rsidRPr="009F3C37">
        <w:rPr>
          <w:color w:val="000000" w:themeColor="text1"/>
        </w:rPr>
        <w:t xml:space="preserve"> </w:t>
      </w:r>
      <w:r w:rsidR="00C0779E" w:rsidRPr="009F3C37">
        <w:rPr>
          <w:color w:val="000000" w:themeColor="text1"/>
        </w:rPr>
        <w:t xml:space="preserve">Hon. </w:t>
      </w:r>
      <w:r w:rsidR="00FF41E0" w:rsidRPr="009F3C37">
        <w:rPr>
          <w:color w:val="000000" w:themeColor="text1"/>
        </w:rPr>
        <w:t xml:space="preserve">Jeffrey S. </w:t>
      </w:r>
      <w:r w:rsidR="00D45997" w:rsidRPr="009F3C37">
        <w:rPr>
          <w:color w:val="000000" w:themeColor="text1"/>
        </w:rPr>
        <w:t xml:space="preserve">Sutton, </w:t>
      </w:r>
      <w:r w:rsidR="00D45997" w:rsidRPr="009F3C37">
        <w:rPr>
          <w:i/>
          <w:iCs/>
          <w:color w:val="000000" w:themeColor="text1"/>
        </w:rPr>
        <w:t>51 Imperfect Solutions</w:t>
      </w:r>
      <w:r w:rsidR="004E4592" w:rsidRPr="009F3C37">
        <w:rPr>
          <w:i/>
          <w:iCs/>
          <w:color w:val="000000" w:themeColor="text1"/>
        </w:rPr>
        <w:t>: States and the Making of American Constitutional Law</w:t>
      </w:r>
      <w:r w:rsidR="00D45997" w:rsidRPr="009F3C37">
        <w:rPr>
          <w:color w:val="000000" w:themeColor="text1"/>
        </w:rPr>
        <w:t xml:space="preserve"> 175</w:t>
      </w:r>
      <w:r w:rsidR="00FF41E0" w:rsidRPr="009F3C37">
        <w:rPr>
          <w:color w:val="000000" w:themeColor="text1"/>
        </w:rPr>
        <w:t xml:space="preserve"> (20</w:t>
      </w:r>
      <w:r w:rsidR="004E4592" w:rsidRPr="009F3C37">
        <w:rPr>
          <w:color w:val="000000" w:themeColor="text1"/>
        </w:rPr>
        <w:t>18)</w:t>
      </w:r>
      <w:r w:rsidR="00D45997" w:rsidRPr="009F3C37">
        <w:rPr>
          <w:color w:val="000000" w:themeColor="text1"/>
        </w:rPr>
        <w:t xml:space="preserve">. </w:t>
      </w:r>
      <w:r w:rsidR="007471B8" w:rsidRPr="009F3C37">
        <w:rPr>
          <w:color w:val="000000" w:themeColor="text1"/>
        </w:rPr>
        <w:t xml:space="preserve"> </w:t>
      </w:r>
      <w:r w:rsidR="007972E3" w:rsidRPr="009F3C37">
        <w:rPr>
          <w:color w:val="000000" w:themeColor="text1"/>
        </w:rPr>
        <w:t>Presumptive</w:t>
      </w:r>
      <w:r w:rsidR="006C2E4C" w:rsidRPr="009F3C37">
        <w:rPr>
          <w:color w:val="000000" w:themeColor="text1"/>
        </w:rPr>
        <w:t>ly</w:t>
      </w:r>
      <w:r w:rsidR="007972E3" w:rsidRPr="009F3C37">
        <w:rPr>
          <w:color w:val="000000" w:themeColor="text1"/>
        </w:rPr>
        <w:t xml:space="preserve"> align</w:t>
      </w:r>
      <w:r w:rsidR="001007BC" w:rsidRPr="009F3C37">
        <w:rPr>
          <w:color w:val="000000" w:themeColor="text1"/>
        </w:rPr>
        <w:t>ing</w:t>
      </w:r>
      <w:r w:rsidR="006C2E4C" w:rsidRPr="009F3C37">
        <w:rPr>
          <w:color w:val="000000" w:themeColor="text1"/>
        </w:rPr>
        <w:t xml:space="preserve"> North Dakota constitutional rights</w:t>
      </w:r>
      <w:r w:rsidR="007972E3" w:rsidRPr="009F3C37">
        <w:rPr>
          <w:color w:val="000000" w:themeColor="text1"/>
        </w:rPr>
        <w:t xml:space="preserve"> with federal precedent risks incorporating </w:t>
      </w:r>
      <w:r w:rsidR="006C2E4C" w:rsidRPr="009F3C37">
        <w:rPr>
          <w:color w:val="000000" w:themeColor="text1"/>
        </w:rPr>
        <w:t xml:space="preserve">federal </w:t>
      </w:r>
      <w:r w:rsidR="007972E3" w:rsidRPr="009F3C37">
        <w:rPr>
          <w:color w:val="000000" w:themeColor="text1"/>
        </w:rPr>
        <w:t xml:space="preserve">underenforcement </w:t>
      </w:r>
      <w:r w:rsidR="00A04939" w:rsidRPr="009F3C37">
        <w:rPr>
          <w:color w:val="000000" w:themeColor="text1"/>
        </w:rPr>
        <w:t xml:space="preserve">of rights </w:t>
      </w:r>
      <w:r w:rsidR="007972E3" w:rsidRPr="009F3C37">
        <w:rPr>
          <w:color w:val="000000" w:themeColor="text1"/>
        </w:rPr>
        <w:t xml:space="preserve">into </w:t>
      </w:r>
      <w:r w:rsidR="006C2E4C" w:rsidRPr="009F3C37">
        <w:rPr>
          <w:color w:val="000000" w:themeColor="text1"/>
        </w:rPr>
        <w:t>North Dakota’s</w:t>
      </w:r>
      <w:r w:rsidR="007972E3" w:rsidRPr="009F3C37">
        <w:rPr>
          <w:color w:val="000000" w:themeColor="text1"/>
        </w:rPr>
        <w:t xml:space="preserve"> constitution</w:t>
      </w:r>
      <w:r w:rsidR="004A2FA3" w:rsidRPr="009F3C37">
        <w:rPr>
          <w:color w:val="000000" w:themeColor="text1"/>
        </w:rPr>
        <w:t xml:space="preserve"> even though</w:t>
      </w:r>
      <w:r w:rsidR="007972E3" w:rsidRPr="009F3C37">
        <w:rPr>
          <w:color w:val="000000" w:themeColor="text1"/>
        </w:rPr>
        <w:t xml:space="preserve"> </w:t>
      </w:r>
      <w:r w:rsidR="006C2E4C" w:rsidRPr="009F3C37">
        <w:rPr>
          <w:color w:val="000000" w:themeColor="text1"/>
        </w:rPr>
        <w:t>s</w:t>
      </w:r>
      <w:r w:rsidR="00357A2A" w:rsidRPr="009F3C37">
        <w:rPr>
          <w:color w:val="000000" w:themeColor="text1"/>
        </w:rPr>
        <w:t xml:space="preserve">tate judges have no </w:t>
      </w:r>
      <w:r w:rsidR="00FB380D" w:rsidRPr="009F3C37">
        <w:rPr>
          <w:color w:val="000000" w:themeColor="text1"/>
        </w:rPr>
        <w:t>r</w:t>
      </w:r>
      <w:r w:rsidR="00357A2A" w:rsidRPr="009F3C37">
        <w:rPr>
          <w:color w:val="000000" w:themeColor="text1"/>
        </w:rPr>
        <w:t xml:space="preserve">eason to apply </w:t>
      </w:r>
      <w:r w:rsidR="001007BC" w:rsidRPr="009F3C37">
        <w:rPr>
          <w:color w:val="000000" w:themeColor="text1"/>
        </w:rPr>
        <w:t>this</w:t>
      </w:r>
      <w:r w:rsidR="007471B8" w:rsidRPr="009F3C37">
        <w:rPr>
          <w:color w:val="000000" w:themeColor="text1"/>
        </w:rPr>
        <w:t xml:space="preserve"> </w:t>
      </w:r>
      <w:r w:rsidR="00357A2A" w:rsidRPr="009F3C37">
        <w:rPr>
          <w:color w:val="000000" w:themeColor="text1"/>
        </w:rPr>
        <w:t xml:space="preserve">“federalism discount” </w:t>
      </w:r>
      <w:r w:rsidR="009639AC" w:rsidRPr="009F3C37">
        <w:rPr>
          <w:color w:val="000000" w:themeColor="text1"/>
        </w:rPr>
        <w:t>in</w:t>
      </w:r>
      <w:r w:rsidR="00357A2A" w:rsidRPr="009F3C37">
        <w:rPr>
          <w:color w:val="000000" w:themeColor="text1"/>
        </w:rPr>
        <w:t xml:space="preserve"> state constitutional c</w:t>
      </w:r>
      <w:r w:rsidR="009639AC" w:rsidRPr="009F3C37">
        <w:rPr>
          <w:color w:val="000000" w:themeColor="text1"/>
        </w:rPr>
        <w:t>ases</w:t>
      </w:r>
      <w:r w:rsidR="00E33DAA" w:rsidRPr="009F3C37">
        <w:rPr>
          <w:color w:val="000000" w:themeColor="text1"/>
        </w:rPr>
        <w:t xml:space="preserve">. </w:t>
      </w:r>
      <w:r w:rsidR="001007BC" w:rsidRPr="009F3C37">
        <w:rPr>
          <w:i/>
          <w:iCs/>
          <w:color w:val="000000" w:themeColor="text1"/>
        </w:rPr>
        <w:t>Id.</w:t>
      </w:r>
    </w:p>
    <w:p w14:paraId="0A50AE11" w14:textId="0CB0719B" w:rsidR="00B955EC" w:rsidRPr="009F3C37" w:rsidRDefault="00102491" w:rsidP="001D1D9F">
      <w:pPr>
        <w:spacing w:line="480" w:lineRule="auto"/>
        <w:ind w:firstLine="720"/>
        <w:jc w:val="both"/>
        <w:rPr>
          <w:color w:val="000000" w:themeColor="text1"/>
        </w:rPr>
      </w:pPr>
      <w:r w:rsidRPr="009F3C37">
        <w:rPr>
          <w:color w:val="000000" w:themeColor="text1"/>
        </w:rPr>
        <w:t xml:space="preserve">This court should </w:t>
      </w:r>
      <w:r w:rsidR="00AC5E2A" w:rsidRPr="009F3C37">
        <w:rPr>
          <w:color w:val="000000" w:themeColor="text1"/>
        </w:rPr>
        <w:t>affirm</w:t>
      </w:r>
      <w:r w:rsidR="00D5355C" w:rsidRPr="009F3C37">
        <w:rPr>
          <w:color w:val="000000" w:themeColor="text1"/>
        </w:rPr>
        <w:t xml:space="preserve"> </w:t>
      </w:r>
      <w:r w:rsidR="00AC5E2A" w:rsidRPr="009F3C37">
        <w:rPr>
          <w:color w:val="000000" w:themeColor="text1"/>
        </w:rPr>
        <w:t xml:space="preserve">its </w:t>
      </w:r>
      <w:r w:rsidR="00D5355C" w:rsidRPr="009F3C37">
        <w:rPr>
          <w:color w:val="000000" w:themeColor="text1"/>
        </w:rPr>
        <w:t xml:space="preserve">commitment to </w:t>
      </w:r>
      <w:r w:rsidR="005C2D87" w:rsidRPr="009F3C37">
        <w:rPr>
          <w:color w:val="000000" w:themeColor="text1"/>
        </w:rPr>
        <w:t xml:space="preserve">independent </w:t>
      </w:r>
      <w:r w:rsidR="00E073DA" w:rsidRPr="009F3C37">
        <w:rPr>
          <w:color w:val="000000" w:themeColor="text1"/>
        </w:rPr>
        <w:t xml:space="preserve">constitutional interpretation </w:t>
      </w:r>
      <w:r w:rsidR="00AC5E2A" w:rsidRPr="009F3C37">
        <w:rPr>
          <w:color w:val="000000" w:themeColor="text1"/>
        </w:rPr>
        <w:t xml:space="preserve">by </w:t>
      </w:r>
      <w:r w:rsidR="00570531" w:rsidRPr="009F3C37">
        <w:rPr>
          <w:color w:val="000000" w:themeColor="text1"/>
        </w:rPr>
        <w:t>clarify</w:t>
      </w:r>
      <w:r w:rsidR="00D5355C" w:rsidRPr="009F3C37">
        <w:rPr>
          <w:color w:val="000000" w:themeColor="text1"/>
        </w:rPr>
        <w:t>ing</w:t>
      </w:r>
      <w:r w:rsidR="00194659" w:rsidRPr="009F3C37">
        <w:rPr>
          <w:color w:val="000000" w:themeColor="text1"/>
        </w:rPr>
        <w:t xml:space="preserve"> that </w:t>
      </w:r>
      <w:r w:rsidR="00570531" w:rsidRPr="009F3C37">
        <w:rPr>
          <w:color w:val="000000" w:themeColor="text1"/>
        </w:rPr>
        <w:t xml:space="preserve">it does not endorse a standard that presumptively aligns the meaning </w:t>
      </w:r>
      <w:r w:rsidR="00156660" w:rsidRPr="009F3C37">
        <w:rPr>
          <w:color w:val="000000" w:themeColor="text1"/>
        </w:rPr>
        <w:t xml:space="preserve">of </w:t>
      </w:r>
      <w:r w:rsidR="00CE71E8" w:rsidRPr="009F3C37">
        <w:rPr>
          <w:color w:val="000000" w:themeColor="text1"/>
        </w:rPr>
        <w:t>North Dakota</w:t>
      </w:r>
      <w:r w:rsidR="00156660" w:rsidRPr="009F3C37">
        <w:rPr>
          <w:color w:val="000000" w:themeColor="text1"/>
        </w:rPr>
        <w:t>’s</w:t>
      </w:r>
      <w:r w:rsidR="00CE71E8" w:rsidRPr="009F3C37">
        <w:rPr>
          <w:color w:val="000000" w:themeColor="text1"/>
        </w:rPr>
        <w:t xml:space="preserve"> </w:t>
      </w:r>
      <w:r w:rsidR="002057D8" w:rsidRPr="009F3C37">
        <w:rPr>
          <w:color w:val="000000" w:themeColor="text1"/>
        </w:rPr>
        <w:t>constitution</w:t>
      </w:r>
      <w:r w:rsidR="00CE71E8" w:rsidRPr="009F3C37">
        <w:rPr>
          <w:color w:val="000000" w:themeColor="text1"/>
        </w:rPr>
        <w:t xml:space="preserve"> with the federal constitution</w:t>
      </w:r>
      <w:r w:rsidR="003065D5" w:rsidRPr="009F3C37">
        <w:rPr>
          <w:color w:val="000000" w:themeColor="text1"/>
        </w:rPr>
        <w:t xml:space="preserve">, absent </w:t>
      </w:r>
      <w:r w:rsidR="00391953" w:rsidRPr="009F3C37">
        <w:rPr>
          <w:color w:val="000000" w:themeColor="text1"/>
        </w:rPr>
        <w:t xml:space="preserve">a thorough review </w:t>
      </w:r>
      <w:r w:rsidR="002057D8" w:rsidRPr="009F3C37">
        <w:rPr>
          <w:color w:val="000000" w:themeColor="text1"/>
        </w:rPr>
        <w:t>that</w:t>
      </w:r>
      <w:r w:rsidR="00391953" w:rsidRPr="009F3C37">
        <w:rPr>
          <w:color w:val="000000" w:themeColor="text1"/>
        </w:rPr>
        <w:t xml:space="preserve"> the federal and state provisions share the same text, history, and context</w:t>
      </w:r>
      <w:r w:rsidR="00A23DA7" w:rsidRPr="009F3C37">
        <w:rPr>
          <w:color w:val="000000" w:themeColor="text1"/>
        </w:rPr>
        <w:t xml:space="preserve"> and </w:t>
      </w:r>
      <w:r w:rsidR="006D1C72" w:rsidRPr="009F3C37">
        <w:rPr>
          <w:color w:val="000000" w:themeColor="text1"/>
        </w:rPr>
        <w:t>a finding that,</w:t>
      </w:r>
      <w:r w:rsidR="00A36C31" w:rsidRPr="009F3C37">
        <w:rPr>
          <w:color w:val="000000" w:themeColor="text1"/>
        </w:rPr>
        <w:t xml:space="preserve"> despite federal underenforcement, alignment is nonetheless appropriate</w:t>
      </w:r>
      <w:r w:rsidR="008A6E9B" w:rsidRPr="009F3C37">
        <w:rPr>
          <w:color w:val="000000" w:themeColor="text1"/>
        </w:rPr>
        <w:t>.</w:t>
      </w:r>
      <w:r w:rsidR="00F201B8" w:rsidRPr="009F3C37">
        <w:rPr>
          <w:color w:val="000000" w:themeColor="text1"/>
        </w:rPr>
        <w:t xml:space="preserve"> </w:t>
      </w:r>
      <w:r w:rsidR="00FF7B94" w:rsidRPr="009F3C37">
        <w:rPr>
          <w:color w:val="000000" w:themeColor="text1"/>
        </w:rPr>
        <w:t xml:space="preserve">Many </w:t>
      </w:r>
      <w:r w:rsidR="005257BD" w:rsidRPr="009F3C37">
        <w:rPr>
          <w:color w:val="000000" w:themeColor="text1"/>
        </w:rPr>
        <w:t>states</w:t>
      </w:r>
      <w:r w:rsidR="004C4F5E" w:rsidRPr="009F3C37">
        <w:rPr>
          <w:color w:val="000000" w:themeColor="text1"/>
        </w:rPr>
        <w:t xml:space="preserve"> have found </w:t>
      </w:r>
      <w:r w:rsidR="00AD0BB0" w:rsidRPr="009F3C37">
        <w:rPr>
          <w:color w:val="000000" w:themeColor="text1"/>
        </w:rPr>
        <w:t>that</w:t>
      </w:r>
      <w:r w:rsidR="004C4F5E" w:rsidRPr="009F3C37">
        <w:rPr>
          <w:color w:val="000000" w:themeColor="text1"/>
        </w:rPr>
        <w:t xml:space="preserve"> </w:t>
      </w:r>
      <w:r w:rsidR="004C2753" w:rsidRPr="009F3C37">
        <w:rPr>
          <w:color w:val="000000" w:themeColor="text1"/>
        </w:rPr>
        <w:t xml:space="preserve">state-specific </w:t>
      </w:r>
      <w:r w:rsidR="00AD0BB0" w:rsidRPr="009F3C37">
        <w:rPr>
          <w:color w:val="000000" w:themeColor="text1"/>
        </w:rPr>
        <w:t>approach</w:t>
      </w:r>
      <w:r w:rsidR="00BA2BBB" w:rsidRPr="009F3C37">
        <w:rPr>
          <w:color w:val="000000" w:themeColor="text1"/>
        </w:rPr>
        <w:t>es</w:t>
      </w:r>
      <w:r w:rsidR="004C4F5E" w:rsidRPr="009F3C37">
        <w:rPr>
          <w:color w:val="000000" w:themeColor="text1"/>
        </w:rPr>
        <w:t xml:space="preserve"> to </w:t>
      </w:r>
      <w:r w:rsidR="00AD0BB0" w:rsidRPr="009F3C37">
        <w:rPr>
          <w:color w:val="000000" w:themeColor="text1"/>
        </w:rPr>
        <w:t>equal protection and</w:t>
      </w:r>
      <w:r w:rsidR="004C4F5E" w:rsidRPr="009F3C37">
        <w:rPr>
          <w:color w:val="000000" w:themeColor="text1"/>
        </w:rPr>
        <w:t xml:space="preserve"> fundamental rights </w:t>
      </w:r>
      <w:r w:rsidR="004C4F5E" w:rsidRPr="009F3C37">
        <w:rPr>
          <w:color w:val="000000" w:themeColor="text1"/>
        </w:rPr>
        <w:lastRenderedPageBreak/>
        <w:t>analysis</w:t>
      </w:r>
      <w:r w:rsidR="002503C5" w:rsidRPr="009F3C37">
        <w:rPr>
          <w:color w:val="000000" w:themeColor="text1"/>
        </w:rPr>
        <w:t xml:space="preserve"> preserve federalism and</w:t>
      </w:r>
      <w:r w:rsidR="004C4F5E" w:rsidRPr="009F3C37">
        <w:rPr>
          <w:color w:val="000000" w:themeColor="text1"/>
        </w:rPr>
        <w:t xml:space="preserve"> </w:t>
      </w:r>
      <w:r w:rsidR="000F3E84" w:rsidRPr="009F3C37">
        <w:rPr>
          <w:color w:val="000000" w:themeColor="text1"/>
        </w:rPr>
        <w:t>operationalize</w:t>
      </w:r>
      <w:r w:rsidR="003F4945" w:rsidRPr="009F3C37">
        <w:rPr>
          <w:color w:val="000000" w:themeColor="text1"/>
        </w:rPr>
        <w:t xml:space="preserve"> </w:t>
      </w:r>
      <w:r w:rsidR="00676F3F" w:rsidRPr="009F3C37">
        <w:rPr>
          <w:color w:val="000000" w:themeColor="text1"/>
        </w:rPr>
        <w:t xml:space="preserve">state constitutional principles </w:t>
      </w:r>
      <w:r w:rsidR="00933B6B" w:rsidRPr="009F3C37">
        <w:rPr>
          <w:color w:val="000000" w:themeColor="text1"/>
        </w:rPr>
        <w:t xml:space="preserve">with greater fidelity </w:t>
      </w:r>
      <w:r w:rsidR="00BA2BBB" w:rsidRPr="009F3C37">
        <w:rPr>
          <w:color w:val="000000" w:themeColor="text1"/>
        </w:rPr>
        <w:t>to state constitution</w:t>
      </w:r>
      <w:r w:rsidR="00F201B8" w:rsidRPr="009F3C37">
        <w:rPr>
          <w:color w:val="000000" w:themeColor="text1"/>
        </w:rPr>
        <w:t>s</w:t>
      </w:r>
      <w:r w:rsidR="00C41953" w:rsidRPr="009F3C37">
        <w:rPr>
          <w:color w:val="000000" w:themeColor="text1"/>
        </w:rPr>
        <w:t xml:space="preserve"> </w:t>
      </w:r>
      <w:r w:rsidR="004C4F5E" w:rsidRPr="009F3C37">
        <w:rPr>
          <w:color w:val="000000" w:themeColor="text1"/>
        </w:rPr>
        <w:t xml:space="preserve">than </w:t>
      </w:r>
      <w:r w:rsidR="00676F3F" w:rsidRPr="009F3C37">
        <w:rPr>
          <w:color w:val="000000" w:themeColor="text1"/>
        </w:rPr>
        <w:t>federal standards.</w:t>
      </w:r>
      <w:r w:rsidR="00781EAB" w:rsidRPr="009F3C37">
        <w:rPr>
          <w:color w:val="000000" w:themeColor="text1"/>
        </w:rPr>
        <w:t xml:space="preserve"> </w:t>
      </w:r>
      <w:r w:rsidR="007D032C" w:rsidRPr="009F3C37">
        <w:rPr>
          <w:i/>
          <w:iCs/>
          <w:color w:val="000000" w:themeColor="text1"/>
        </w:rPr>
        <w:t xml:space="preserve">See </w:t>
      </w:r>
      <w:r w:rsidR="00FF7B94" w:rsidRPr="009F3C37">
        <w:rPr>
          <w:color w:val="000000" w:themeColor="text1"/>
        </w:rPr>
        <w:t xml:space="preserve">Robert F. </w:t>
      </w:r>
      <w:r w:rsidR="007D032C" w:rsidRPr="009F3C37">
        <w:rPr>
          <w:color w:val="000000" w:themeColor="text1"/>
        </w:rPr>
        <w:t xml:space="preserve">Williams &amp; </w:t>
      </w:r>
      <w:r w:rsidR="00FF7B94" w:rsidRPr="009F3C37">
        <w:rPr>
          <w:color w:val="000000" w:themeColor="text1"/>
        </w:rPr>
        <w:t xml:space="preserve">Lawrence </w:t>
      </w:r>
      <w:r w:rsidR="007D032C" w:rsidRPr="009F3C37">
        <w:rPr>
          <w:color w:val="000000" w:themeColor="text1"/>
        </w:rPr>
        <w:t>Friedman,</w:t>
      </w:r>
      <w:r w:rsidR="00FF7B94" w:rsidRPr="009F3C37">
        <w:rPr>
          <w:color w:val="000000" w:themeColor="text1"/>
        </w:rPr>
        <w:t xml:space="preserve"> </w:t>
      </w:r>
      <w:r w:rsidR="00FF7B94" w:rsidRPr="009F3C37">
        <w:rPr>
          <w:i/>
          <w:iCs/>
          <w:color w:val="000000" w:themeColor="text1"/>
        </w:rPr>
        <w:t xml:space="preserve">The Law of American State Constitutions, </w:t>
      </w:r>
      <w:r w:rsidR="007D032C" w:rsidRPr="009F3C37">
        <w:rPr>
          <w:color w:val="000000" w:themeColor="text1"/>
        </w:rPr>
        <w:t xml:space="preserve">252 </w:t>
      </w:r>
      <w:r w:rsidR="00FF7B94" w:rsidRPr="009F3C37">
        <w:rPr>
          <w:color w:val="000000" w:themeColor="text1"/>
        </w:rPr>
        <w:t xml:space="preserve">(2023) </w:t>
      </w:r>
      <w:r w:rsidR="004378A5" w:rsidRPr="009F3C37">
        <w:rPr>
          <w:color w:val="000000" w:themeColor="text1"/>
        </w:rPr>
        <w:t xml:space="preserve">(noting that </w:t>
      </w:r>
      <w:r w:rsidR="007D032C" w:rsidRPr="009F3C37">
        <w:rPr>
          <w:color w:val="000000" w:themeColor="text1"/>
        </w:rPr>
        <w:t xml:space="preserve">Indiana, Vermont, Minnesota, Alaska, Idaho, Wisconsin, </w:t>
      </w:r>
      <w:r w:rsidR="004378A5" w:rsidRPr="009F3C37">
        <w:rPr>
          <w:color w:val="000000" w:themeColor="text1"/>
        </w:rPr>
        <w:t xml:space="preserve">Washington, Iowa, Utah, Ohio, and New Mexico have </w:t>
      </w:r>
      <w:r w:rsidR="00713A2C" w:rsidRPr="009F3C37">
        <w:rPr>
          <w:color w:val="000000" w:themeColor="text1"/>
        </w:rPr>
        <w:t xml:space="preserve">moved to </w:t>
      </w:r>
      <w:r w:rsidR="004378A5" w:rsidRPr="009F3C37">
        <w:rPr>
          <w:color w:val="000000" w:themeColor="text1"/>
        </w:rPr>
        <w:t>“decouple</w:t>
      </w:r>
      <w:r w:rsidR="008E398E" w:rsidRPr="009F3C37">
        <w:rPr>
          <w:color w:val="000000" w:themeColor="text1"/>
        </w:rPr>
        <w:t xml:space="preserve"> their state constitutional equality doctrines from . . . federal equal protection analysis”</w:t>
      </w:r>
      <w:r w:rsidR="00BA2BBB" w:rsidRPr="009F3C37">
        <w:rPr>
          <w:color w:val="000000" w:themeColor="text1"/>
        </w:rPr>
        <w:t>).</w:t>
      </w:r>
      <w:r w:rsidR="00694697" w:rsidRPr="009F3C37">
        <w:rPr>
          <w:color w:val="000000" w:themeColor="text1"/>
        </w:rPr>
        <w:t xml:space="preserve"> This Court may find that such</w:t>
      </w:r>
      <w:r w:rsidR="00A2304C" w:rsidRPr="009F3C37">
        <w:rPr>
          <w:color w:val="000000" w:themeColor="text1"/>
        </w:rPr>
        <w:t xml:space="preserve"> </w:t>
      </w:r>
      <w:r w:rsidR="00694697" w:rsidRPr="009F3C37">
        <w:rPr>
          <w:color w:val="000000" w:themeColor="text1"/>
        </w:rPr>
        <w:t xml:space="preserve">approaches </w:t>
      </w:r>
      <w:r w:rsidR="00DA692A" w:rsidRPr="009F3C37">
        <w:rPr>
          <w:color w:val="000000" w:themeColor="text1"/>
        </w:rPr>
        <w:t xml:space="preserve">better </w:t>
      </w:r>
      <w:r w:rsidR="00C732AE" w:rsidRPr="009F3C37">
        <w:rPr>
          <w:color w:val="000000" w:themeColor="text1"/>
        </w:rPr>
        <w:t>vindicate</w:t>
      </w:r>
      <w:r w:rsidR="00694697" w:rsidRPr="009F3C37">
        <w:rPr>
          <w:color w:val="000000" w:themeColor="text1"/>
        </w:rPr>
        <w:t xml:space="preserve"> North Dakota’s </w:t>
      </w:r>
      <w:r w:rsidR="00DA692A" w:rsidRPr="009F3C37">
        <w:rPr>
          <w:color w:val="000000" w:themeColor="text1"/>
        </w:rPr>
        <w:t xml:space="preserve">distinct </w:t>
      </w:r>
      <w:r w:rsidR="00904E8A" w:rsidRPr="009F3C37">
        <w:rPr>
          <w:color w:val="000000" w:themeColor="text1"/>
        </w:rPr>
        <w:t xml:space="preserve">constitutional </w:t>
      </w:r>
      <w:r w:rsidR="00A37156" w:rsidRPr="009F3C37">
        <w:rPr>
          <w:color w:val="000000" w:themeColor="text1"/>
        </w:rPr>
        <w:t>interests</w:t>
      </w:r>
      <w:r w:rsidR="00694697" w:rsidRPr="009F3C37">
        <w:rPr>
          <w:color w:val="000000" w:themeColor="text1"/>
        </w:rPr>
        <w:t xml:space="preserve"> than </w:t>
      </w:r>
      <w:r w:rsidR="003F4786" w:rsidRPr="009F3C37">
        <w:rPr>
          <w:color w:val="000000" w:themeColor="text1"/>
        </w:rPr>
        <w:t>federal standards.</w:t>
      </w:r>
    </w:p>
    <w:p w14:paraId="4966D00F" w14:textId="6CAC3807" w:rsidR="00751CAC" w:rsidRPr="009F3C37" w:rsidRDefault="008E402A" w:rsidP="007159A6">
      <w:pPr>
        <w:pStyle w:val="Heading1"/>
        <w:spacing w:line="480" w:lineRule="auto"/>
        <w:jc w:val="center"/>
        <w:rPr>
          <w:rFonts w:cs="Times New Roman"/>
          <w:b/>
          <w:bCs/>
          <w:szCs w:val="24"/>
          <w:u w:val="single"/>
        </w:rPr>
      </w:pPr>
      <w:bookmarkStart w:id="10" w:name="_Toc225513544"/>
      <w:r w:rsidRPr="009F3C37">
        <w:rPr>
          <w:rFonts w:cs="Times New Roman"/>
          <w:b/>
          <w:bCs/>
          <w:szCs w:val="24"/>
          <w:u w:val="single"/>
        </w:rPr>
        <w:t>ARGUMENT</w:t>
      </w:r>
      <w:bookmarkEnd w:id="10"/>
    </w:p>
    <w:p w14:paraId="61FB1F32" w14:textId="27A43915" w:rsidR="00E34812" w:rsidRPr="009F3C37" w:rsidRDefault="008A0797" w:rsidP="006A23B3">
      <w:pPr>
        <w:pStyle w:val="Heading1"/>
        <w:numPr>
          <w:ilvl w:val="0"/>
          <w:numId w:val="27"/>
        </w:numPr>
        <w:spacing w:line="480" w:lineRule="auto"/>
        <w:jc w:val="both"/>
        <w:rPr>
          <w:rFonts w:cs="Times New Roman"/>
          <w:b/>
          <w:bCs/>
          <w:szCs w:val="24"/>
          <w:u w:val="single"/>
        </w:rPr>
      </w:pPr>
      <w:bookmarkStart w:id="11" w:name="_Toc225513545"/>
      <w:r w:rsidRPr="009F3C37">
        <w:rPr>
          <w:rFonts w:cs="Times New Roman"/>
          <w:b/>
          <w:bCs/>
          <w:szCs w:val="24"/>
          <w:u w:val="single"/>
        </w:rPr>
        <w:t xml:space="preserve">The Decision Below </w:t>
      </w:r>
      <w:r w:rsidR="00FF30AF" w:rsidRPr="009F3C37">
        <w:rPr>
          <w:rFonts w:cs="Times New Roman"/>
          <w:b/>
          <w:bCs/>
          <w:szCs w:val="24"/>
          <w:u w:val="single"/>
        </w:rPr>
        <w:t xml:space="preserve">Erroneously Applied a </w:t>
      </w:r>
      <w:r w:rsidR="007B7E86" w:rsidRPr="009F3C37">
        <w:rPr>
          <w:rFonts w:cs="Times New Roman"/>
          <w:b/>
          <w:bCs/>
          <w:szCs w:val="24"/>
          <w:u w:val="single"/>
        </w:rPr>
        <w:t>Presumpti</w:t>
      </w:r>
      <w:r w:rsidR="00FF30AF" w:rsidRPr="009F3C37">
        <w:rPr>
          <w:rFonts w:cs="Times New Roman"/>
          <w:b/>
          <w:bCs/>
          <w:szCs w:val="24"/>
          <w:u w:val="single"/>
        </w:rPr>
        <w:t>on</w:t>
      </w:r>
      <w:r w:rsidR="007B7E86" w:rsidRPr="009F3C37">
        <w:rPr>
          <w:rFonts w:cs="Times New Roman"/>
          <w:b/>
          <w:bCs/>
          <w:szCs w:val="24"/>
          <w:u w:val="single"/>
        </w:rPr>
        <w:t xml:space="preserve"> </w:t>
      </w:r>
      <w:r w:rsidR="00FF30AF" w:rsidRPr="009F3C37">
        <w:rPr>
          <w:rFonts w:cs="Times New Roman"/>
          <w:b/>
          <w:bCs/>
          <w:szCs w:val="24"/>
          <w:u w:val="single"/>
        </w:rPr>
        <w:t>that Aligns</w:t>
      </w:r>
      <w:r w:rsidR="007B7E86" w:rsidRPr="009F3C37">
        <w:rPr>
          <w:rFonts w:cs="Times New Roman"/>
          <w:b/>
          <w:bCs/>
          <w:szCs w:val="24"/>
          <w:u w:val="single"/>
        </w:rPr>
        <w:t xml:space="preserve"> North Dakota Constitutional Protections with </w:t>
      </w:r>
      <w:bookmarkEnd w:id="11"/>
      <w:r w:rsidR="004900BD" w:rsidRPr="009F3C37">
        <w:rPr>
          <w:rFonts w:cs="Times New Roman"/>
          <w:b/>
          <w:bCs/>
          <w:szCs w:val="24"/>
          <w:u w:val="single"/>
        </w:rPr>
        <w:t>the U.S. Constitution</w:t>
      </w:r>
      <w:r w:rsidR="007B7E86" w:rsidRPr="009F3C37">
        <w:rPr>
          <w:rFonts w:cs="Times New Roman"/>
          <w:b/>
          <w:bCs/>
          <w:szCs w:val="24"/>
          <w:u w:val="single"/>
        </w:rPr>
        <w:t xml:space="preserve"> </w:t>
      </w:r>
    </w:p>
    <w:p w14:paraId="2FB6188A" w14:textId="52B133B2" w:rsidR="00F5536A" w:rsidRPr="009F3C37" w:rsidRDefault="001C4966" w:rsidP="00D95707">
      <w:pPr>
        <w:spacing w:line="480" w:lineRule="auto"/>
        <w:ind w:firstLine="720"/>
        <w:jc w:val="both"/>
        <w:rPr>
          <w:color w:val="000000" w:themeColor="text1"/>
        </w:rPr>
      </w:pPr>
      <w:r w:rsidRPr="009F3C37">
        <w:rPr>
          <w:color w:val="000000" w:themeColor="text1"/>
        </w:rPr>
        <w:t xml:space="preserve">The decision below presumptively aligned </w:t>
      </w:r>
      <w:r w:rsidR="0023216B" w:rsidRPr="009F3C37">
        <w:rPr>
          <w:color w:val="000000" w:themeColor="text1"/>
        </w:rPr>
        <w:t>the protections of Sections 20 and 21 of North Dakota’s Constitution with</w:t>
      </w:r>
      <w:r w:rsidRPr="009F3C37">
        <w:rPr>
          <w:color w:val="000000" w:themeColor="text1"/>
        </w:rPr>
        <w:t xml:space="preserve"> </w:t>
      </w:r>
      <w:r w:rsidR="0023216B" w:rsidRPr="009F3C37">
        <w:rPr>
          <w:color w:val="000000" w:themeColor="text1"/>
        </w:rPr>
        <w:t>the federal Equal Protection Clause</w:t>
      </w:r>
      <w:r w:rsidRPr="009F3C37">
        <w:rPr>
          <w:color w:val="000000" w:themeColor="text1"/>
        </w:rPr>
        <w:t xml:space="preserve"> and</w:t>
      </w:r>
      <w:r w:rsidR="003F4786" w:rsidRPr="009F3C37">
        <w:rPr>
          <w:color w:val="000000" w:themeColor="text1"/>
        </w:rPr>
        <w:t xml:space="preserve"> </w:t>
      </w:r>
      <w:r w:rsidR="00237623" w:rsidRPr="009F3C37">
        <w:rPr>
          <w:color w:val="000000" w:themeColor="text1"/>
        </w:rPr>
        <w:t>gave considerable weight to federal precedent</w:t>
      </w:r>
      <w:r w:rsidRPr="009F3C37">
        <w:rPr>
          <w:color w:val="000000" w:themeColor="text1"/>
        </w:rPr>
        <w:t xml:space="preserve">. </w:t>
      </w:r>
      <w:r w:rsidR="000225D0" w:rsidRPr="009F3C37">
        <w:rPr>
          <w:color w:val="000000" w:themeColor="text1"/>
        </w:rPr>
        <w:t>Such an approach is inconsistent with</w:t>
      </w:r>
      <w:r w:rsidR="00ED3C17" w:rsidRPr="009F3C37">
        <w:rPr>
          <w:color w:val="000000" w:themeColor="text1"/>
        </w:rPr>
        <w:t xml:space="preserve"> </w:t>
      </w:r>
      <w:r w:rsidR="000D2920" w:rsidRPr="009F3C37">
        <w:rPr>
          <w:color w:val="000000" w:themeColor="text1"/>
        </w:rPr>
        <w:t xml:space="preserve">two </w:t>
      </w:r>
      <w:r w:rsidR="00224602" w:rsidRPr="009F3C37">
        <w:rPr>
          <w:color w:val="000000" w:themeColor="text1"/>
        </w:rPr>
        <w:t>interpret</w:t>
      </w:r>
      <w:r w:rsidR="006D1C72" w:rsidRPr="009F3C37">
        <w:rPr>
          <w:color w:val="000000" w:themeColor="text1"/>
        </w:rPr>
        <w:t>ive principles</w:t>
      </w:r>
      <w:r w:rsidR="00224602" w:rsidRPr="009F3C37">
        <w:rPr>
          <w:color w:val="000000" w:themeColor="text1"/>
        </w:rPr>
        <w:t xml:space="preserve"> endorsed by</w:t>
      </w:r>
      <w:r w:rsidR="00ED3C17" w:rsidRPr="009F3C37">
        <w:rPr>
          <w:color w:val="000000" w:themeColor="text1"/>
        </w:rPr>
        <w:t xml:space="preserve"> </w:t>
      </w:r>
      <w:r w:rsidR="002F523F" w:rsidRPr="009F3C37">
        <w:rPr>
          <w:color w:val="000000" w:themeColor="text1"/>
        </w:rPr>
        <w:t>this Court</w:t>
      </w:r>
      <w:r w:rsidR="004E4658" w:rsidRPr="009F3C37">
        <w:rPr>
          <w:color w:val="000000" w:themeColor="text1"/>
        </w:rPr>
        <w:t xml:space="preserve">: </w:t>
      </w:r>
      <w:r w:rsidR="00A755C0" w:rsidRPr="009F3C37">
        <w:rPr>
          <w:color w:val="000000" w:themeColor="text1"/>
        </w:rPr>
        <w:t xml:space="preserve">(1) </w:t>
      </w:r>
      <w:r w:rsidR="004E4658" w:rsidRPr="009F3C37">
        <w:rPr>
          <w:color w:val="000000" w:themeColor="text1"/>
        </w:rPr>
        <w:t xml:space="preserve">the </w:t>
      </w:r>
      <w:r w:rsidR="00520721" w:rsidRPr="009F3C37">
        <w:rPr>
          <w:color w:val="000000" w:themeColor="text1"/>
        </w:rPr>
        <w:t>imperative that courts</w:t>
      </w:r>
      <w:r w:rsidR="004E4658" w:rsidRPr="009F3C37">
        <w:rPr>
          <w:color w:val="000000" w:themeColor="text1"/>
        </w:rPr>
        <w:t xml:space="preserve"> interpret </w:t>
      </w:r>
      <w:r w:rsidR="006F0363" w:rsidRPr="009F3C37">
        <w:rPr>
          <w:color w:val="000000" w:themeColor="text1"/>
        </w:rPr>
        <w:t>North Dako</w:t>
      </w:r>
      <w:r w:rsidR="001B17B8" w:rsidRPr="009F3C37">
        <w:rPr>
          <w:color w:val="000000" w:themeColor="text1"/>
        </w:rPr>
        <w:t>t</w:t>
      </w:r>
      <w:r w:rsidR="006F0363" w:rsidRPr="009F3C37">
        <w:rPr>
          <w:color w:val="000000" w:themeColor="text1"/>
        </w:rPr>
        <w:t xml:space="preserve">a’s </w:t>
      </w:r>
      <w:r w:rsidR="004E4658" w:rsidRPr="009F3C37">
        <w:rPr>
          <w:color w:val="000000" w:themeColor="text1"/>
        </w:rPr>
        <w:t>constitution holistically</w:t>
      </w:r>
      <w:r w:rsidR="00A755C0" w:rsidRPr="009F3C37">
        <w:rPr>
          <w:color w:val="000000" w:themeColor="text1"/>
        </w:rPr>
        <w:t>;</w:t>
      </w:r>
      <w:r w:rsidR="004E4658" w:rsidRPr="009F3C37">
        <w:rPr>
          <w:color w:val="000000" w:themeColor="text1"/>
        </w:rPr>
        <w:t xml:space="preserve"> </w:t>
      </w:r>
      <w:r w:rsidR="00492277" w:rsidRPr="009F3C37">
        <w:rPr>
          <w:color w:val="000000" w:themeColor="text1"/>
        </w:rPr>
        <w:t xml:space="preserve">and </w:t>
      </w:r>
      <w:r w:rsidR="00A755C0" w:rsidRPr="009F3C37">
        <w:rPr>
          <w:color w:val="000000" w:themeColor="text1"/>
        </w:rPr>
        <w:t xml:space="preserve">(2) </w:t>
      </w:r>
      <w:r w:rsidR="004E4658" w:rsidRPr="009F3C37">
        <w:rPr>
          <w:color w:val="000000" w:themeColor="text1"/>
        </w:rPr>
        <w:t xml:space="preserve">the </w:t>
      </w:r>
      <w:r w:rsidR="000E7811" w:rsidRPr="009F3C37">
        <w:rPr>
          <w:color w:val="000000" w:themeColor="text1"/>
        </w:rPr>
        <w:t>importance</w:t>
      </w:r>
      <w:commentRangeStart w:id="12"/>
      <w:commentRangeStart w:id="13"/>
      <w:r w:rsidR="00B6511B" w:rsidRPr="009F3C37">
        <w:rPr>
          <w:color w:val="000000" w:themeColor="text1"/>
        </w:rPr>
        <w:t xml:space="preserve"> </w:t>
      </w:r>
      <w:commentRangeEnd w:id="12"/>
      <w:r w:rsidR="009F3C37" w:rsidRPr="009F3C37">
        <w:rPr>
          <w:rStyle w:val="CommentReference"/>
          <w:color w:val="000000" w:themeColor="text1"/>
          <w:sz w:val="24"/>
          <w:szCs w:val="24"/>
        </w:rPr>
        <w:commentReference w:id="12"/>
      </w:r>
      <w:commentRangeEnd w:id="13"/>
      <w:r w:rsidR="004B2ED4" w:rsidRPr="009F3C37">
        <w:rPr>
          <w:rStyle w:val="CommentReference"/>
          <w:color w:val="000000" w:themeColor="text1"/>
          <w:sz w:val="24"/>
          <w:szCs w:val="24"/>
        </w:rPr>
        <w:commentReference w:id="13"/>
      </w:r>
      <w:r w:rsidR="004E4658" w:rsidRPr="009F3C37">
        <w:rPr>
          <w:color w:val="000000" w:themeColor="text1"/>
        </w:rPr>
        <w:t xml:space="preserve">of North Dakota </w:t>
      </w:r>
      <w:r w:rsidR="00DD5E32" w:rsidRPr="009F3C37">
        <w:rPr>
          <w:color w:val="000000" w:themeColor="text1"/>
        </w:rPr>
        <w:t xml:space="preserve">history </w:t>
      </w:r>
      <w:r w:rsidR="00B6511B" w:rsidRPr="009F3C37">
        <w:rPr>
          <w:color w:val="000000" w:themeColor="text1"/>
        </w:rPr>
        <w:t>when</w:t>
      </w:r>
      <w:r w:rsidR="00222AC3" w:rsidRPr="009F3C37">
        <w:rPr>
          <w:color w:val="000000" w:themeColor="text1"/>
        </w:rPr>
        <w:t xml:space="preserve"> </w:t>
      </w:r>
      <w:r w:rsidR="002F523F" w:rsidRPr="009F3C37">
        <w:rPr>
          <w:color w:val="000000" w:themeColor="text1"/>
        </w:rPr>
        <w:t xml:space="preserve">interpreting </w:t>
      </w:r>
      <w:r w:rsidR="0025449B" w:rsidRPr="009F3C37">
        <w:rPr>
          <w:color w:val="000000" w:themeColor="text1"/>
        </w:rPr>
        <w:t>North Dakota</w:t>
      </w:r>
      <w:r w:rsidR="00C70B5F" w:rsidRPr="009F3C37">
        <w:rPr>
          <w:color w:val="000000" w:themeColor="text1"/>
        </w:rPr>
        <w:t>’s</w:t>
      </w:r>
      <w:r w:rsidR="0025449B" w:rsidRPr="009F3C37">
        <w:rPr>
          <w:color w:val="000000" w:themeColor="text1"/>
        </w:rPr>
        <w:t xml:space="preserve"> </w:t>
      </w:r>
      <w:r w:rsidR="00776B17" w:rsidRPr="009F3C37">
        <w:rPr>
          <w:color w:val="000000" w:themeColor="text1"/>
        </w:rPr>
        <w:t>constitution.</w:t>
      </w:r>
      <w:r w:rsidR="0025449B" w:rsidRPr="009F3C37">
        <w:rPr>
          <w:color w:val="000000" w:themeColor="text1"/>
        </w:rPr>
        <w:t xml:space="preserve"> </w:t>
      </w:r>
    </w:p>
    <w:p w14:paraId="3E5D2228" w14:textId="6E0C0F6D" w:rsidR="00F5536A" w:rsidRPr="009F3C37" w:rsidRDefault="00FF30AF" w:rsidP="00DD5E32">
      <w:pPr>
        <w:pStyle w:val="Heading2"/>
        <w:numPr>
          <w:ilvl w:val="1"/>
          <w:numId w:val="20"/>
        </w:numPr>
        <w:spacing w:before="0" w:after="0" w:line="480" w:lineRule="auto"/>
        <w:jc w:val="both"/>
        <w:rPr>
          <w:rFonts w:ascii="Times New Roman" w:hAnsi="Times New Roman" w:cs="Times New Roman"/>
          <w:b/>
          <w:bCs/>
          <w:color w:val="000000" w:themeColor="text1"/>
          <w:sz w:val="24"/>
          <w:szCs w:val="24"/>
          <w:u w:val="single"/>
        </w:rPr>
      </w:pPr>
      <w:bookmarkStart w:id="14" w:name="_Toc225437081"/>
      <w:bookmarkStart w:id="15" w:name="_Toc225437171"/>
      <w:bookmarkStart w:id="16" w:name="_Toc225437220"/>
      <w:bookmarkStart w:id="17" w:name="_Toc225438115"/>
      <w:bookmarkStart w:id="18" w:name="_Toc225438318"/>
      <w:bookmarkStart w:id="19" w:name="_Toc225438408"/>
      <w:bookmarkStart w:id="20" w:name="_Toc225438471"/>
      <w:bookmarkStart w:id="21" w:name="_Toc225438586"/>
      <w:bookmarkStart w:id="22" w:name="_Toc225440593"/>
      <w:bookmarkStart w:id="23" w:name="_Toc225513387"/>
      <w:bookmarkStart w:id="24" w:name="_Toc225513444"/>
      <w:bookmarkStart w:id="25" w:name="_Toc225513503"/>
      <w:bookmarkStart w:id="26" w:name="_Toc225513546"/>
      <w:bookmarkStart w:id="27" w:name="_Toc225513547"/>
      <w:bookmarkEnd w:id="14"/>
      <w:bookmarkEnd w:id="15"/>
      <w:bookmarkEnd w:id="16"/>
      <w:bookmarkEnd w:id="17"/>
      <w:bookmarkEnd w:id="18"/>
      <w:bookmarkEnd w:id="19"/>
      <w:bookmarkEnd w:id="20"/>
      <w:bookmarkEnd w:id="21"/>
      <w:bookmarkEnd w:id="22"/>
      <w:bookmarkEnd w:id="23"/>
      <w:bookmarkEnd w:id="24"/>
      <w:bookmarkEnd w:id="25"/>
      <w:bookmarkEnd w:id="26"/>
      <w:r w:rsidRPr="009F3C37">
        <w:rPr>
          <w:rFonts w:ascii="Times New Roman" w:hAnsi="Times New Roman" w:cs="Times New Roman"/>
          <w:b/>
          <w:bCs/>
          <w:color w:val="000000" w:themeColor="text1"/>
          <w:sz w:val="24"/>
          <w:szCs w:val="24"/>
          <w:u w:val="single"/>
        </w:rPr>
        <w:t>Presumptive Alignment</w:t>
      </w:r>
      <w:r w:rsidR="00AA41D9" w:rsidRPr="009F3C37">
        <w:rPr>
          <w:rFonts w:ascii="Times New Roman" w:hAnsi="Times New Roman" w:cs="Times New Roman"/>
          <w:b/>
          <w:bCs/>
          <w:color w:val="000000" w:themeColor="text1"/>
          <w:sz w:val="24"/>
          <w:szCs w:val="24"/>
          <w:u w:val="single"/>
        </w:rPr>
        <w:t xml:space="preserve"> </w:t>
      </w:r>
      <w:r w:rsidR="00ED0857" w:rsidRPr="009F3C37">
        <w:rPr>
          <w:rFonts w:ascii="Times New Roman" w:hAnsi="Times New Roman" w:cs="Times New Roman"/>
          <w:b/>
          <w:bCs/>
          <w:color w:val="000000" w:themeColor="text1"/>
          <w:sz w:val="24"/>
          <w:szCs w:val="24"/>
          <w:u w:val="single"/>
        </w:rPr>
        <w:t>w</w:t>
      </w:r>
      <w:r w:rsidR="00B33171" w:rsidRPr="009F3C37">
        <w:rPr>
          <w:rFonts w:ascii="Times New Roman" w:hAnsi="Times New Roman" w:cs="Times New Roman"/>
          <w:b/>
          <w:bCs/>
          <w:color w:val="000000" w:themeColor="text1"/>
          <w:sz w:val="24"/>
          <w:szCs w:val="24"/>
          <w:u w:val="single"/>
        </w:rPr>
        <w:t xml:space="preserve">ith Federal Constitutional Protections </w:t>
      </w:r>
      <w:r w:rsidR="00F5536A" w:rsidRPr="009F3C37">
        <w:rPr>
          <w:rFonts w:ascii="Times New Roman" w:hAnsi="Times New Roman" w:cs="Times New Roman"/>
          <w:b/>
          <w:bCs/>
          <w:color w:val="000000" w:themeColor="text1"/>
          <w:sz w:val="24"/>
          <w:szCs w:val="24"/>
          <w:u w:val="single"/>
        </w:rPr>
        <w:t xml:space="preserve">Disregards </w:t>
      </w:r>
      <w:r w:rsidR="008B5B9B" w:rsidRPr="009F3C37">
        <w:rPr>
          <w:rFonts w:ascii="Times New Roman" w:hAnsi="Times New Roman" w:cs="Times New Roman"/>
          <w:b/>
          <w:bCs/>
          <w:color w:val="000000" w:themeColor="text1"/>
          <w:sz w:val="24"/>
          <w:szCs w:val="24"/>
          <w:u w:val="single"/>
        </w:rPr>
        <w:t xml:space="preserve">This Court’s Instruction </w:t>
      </w:r>
      <w:r w:rsidR="008940F0" w:rsidRPr="009F3C37">
        <w:rPr>
          <w:rFonts w:ascii="Times New Roman" w:hAnsi="Times New Roman" w:cs="Times New Roman"/>
          <w:b/>
          <w:bCs/>
          <w:color w:val="000000" w:themeColor="text1"/>
          <w:sz w:val="24"/>
          <w:szCs w:val="24"/>
          <w:u w:val="single"/>
        </w:rPr>
        <w:t>to Interpret</w:t>
      </w:r>
      <w:r w:rsidR="00F5536A" w:rsidRPr="009F3C37">
        <w:rPr>
          <w:rFonts w:ascii="Times New Roman" w:hAnsi="Times New Roman" w:cs="Times New Roman"/>
          <w:b/>
          <w:bCs/>
          <w:color w:val="000000" w:themeColor="text1"/>
          <w:sz w:val="24"/>
          <w:szCs w:val="24"/>
          <w:u w:val="single"/>
        </w:rPr>
        <w:t xml:space="preserve"> </w:t>
      </w:r>
      <w:r w:rsidR="003D6E5E" w:rsidRPr="009F3C37">
        <w:rPr>
          <w:rFonts w:ascii="Times New Roman" w:hAnsi="Times New Roman" w:cs="Times New Roman"/>
          <w:b/>
          <w:bCs/>
          <w:color w:val="000000" w:themeColor="text1"/>
          <w:sz w:val="24"/>
          <w:szCs w:val="24"/>
          <w:u w:val="single"/>
        </w:rPr>
        <w:t>North Dakota’s</w:t>
      </w:r>
      <w:r w:rsidR="00F5536A" w:rsidRPr="009F3C37">
        <w:rPr>
          <w:rFonts w:ascii="Times New Roman" w:hAnsi="Times New Roman" w:cs="Times New Roman"/>
          <w:b/>
          <w:bCs/>
          <w:color w:val="000000" w:themeColor="text1"/>
          <w:sz w:val="24"/>
          <w:szCs w:val="24"/>
          <w:u w:val="single"/>
        </w:rPr>
        <w:t xml:space="preserve"> Constitution Holistically</w:t>
      </w:r>
      <w:bookmarkEnd w:id="27"/>
    </w:p>
    <w:p w14:paraId="05416DB2" w14:textId="7EC3704D" w:rsidR="00741570" w:rsidRPr="009F3C37" w:rsidRDefault="00CA4F59" w:rsidP="00064525">
      <w:pPr>
        <w:spacing w:line="480" w:lineRule="auto"/>
        <w:ind w:firstLine="720"/>
        <w:jc w:val="both"/>
        <w:rPr>
          <w:color w:val="000000" w:themeColor="text1"/>
        </w:rPr>
      </w:pPr>
      <w:r w:rsidRPr="009F3C37">
        <w:rPr>
          <w:color w:val="000000" w:themeColor="text1"/>
          <w:shd w:val="clear" w:color="auto" w:fill="FFFFFF"/>
        </w:rPr>
        <w:t xml:space="preserve">“In construing a written constitution . . . . </w:t>
      </w:r>
      <w:r w:rsidR="005F0836" w:rsidRPr="009F3C37">
        <w:rPr>
          <w:color w:val="000000" w:themeColor="text1"/>
          <w:shd w:val="clear" w:color="auto" w:fill="FFFFFF"/>
        </w:rPr>
        <w:t>[courts] must</w:t>
      </w:r>
      <w:r w:rsidR="00D848E2" w:rsidRPr="009F3C37">
        <w:rPr>
          <w:color w:val="000000" w:themeColor="text1"/>
          <w:shd w:val="clear" w:color="auto" w:fill="FFFFFF"/>
        </w:rPr>
        <w:t xml:space="preserve"> examine the whole instrument in order to determine the true intention of every part so as to give effect to each section and clause.”</w:t>
      </w:r>
      <w:r w:rsidR="00EB6B60" w:rsidRPr="009F3C37">
        <w:rPr>
          <w:color w:val="000000" w:themeColor="text1"/>
          <w:shd w:val="clear" w:color="auto" w:fill="FFFFFF"/>
        </w:rPr>
        <w:t xml:space="preserve"> </w:t>
      </w:r>
      <w:r w:rsidR="00EB6B60" w:rsidRPr="000C43AD">
        <w:rPr>
          <w:i/>
          <w:iCs/>
          <w:color w:val="000000" w:themeColor="text1"/>
        </w:rPr>
        <w:t>Cardiff v. Bismarck Public School Dist.</w:t>
      </w:r>
      <w:r w:rsidR="00EB6B60" w:rsidRPr="009F3C37">
        <w:rPr>
          <w:color w:val="000000" w:themeColor="text1"/>
          <w:shd w:val="clear" w:color="auto" w:fill="FFFFFF"/>
        </w:rPr>
        <w:t xml:space="preserve">, </w:t>
      </w:r>
      <w:r w:rsidR="008E1FDA" w:rsidRPr="009F3C37">
        <w:rPr>
          <w:color w:val="000000" w:themeColor="text1"/>
          <w:shd w:val="clear" w:color="auto" w:fill="FFFFFF"/>
        </w:rPr>
        <w:t xml:space="preserve">263 N.W.2d 105, </w:t>
      </w:r>
      <w:r w:rsidR="005B3DD5" w:rsidRPr="009F3C37">
        <w:rPr>
          <w:color w:val="000000" w:themeColor="text1"/>
          <w:shd w:val="clear" w:color="auto" w:fill="FFFFFF"/>
        </w:rPr>
        <w:t>107 (1978</w:t>
      </w:r>
      <w:r w:rsidR="001F414C" w:rsidRPr="009F3C37">
        <w:rPr>
          <w:color w:val="000000" w:themeColor="text1"/>
          <w:shd w:val="clear" w:color="auto" w:fill="FFFFFF"/>
        </w:rPr>
        <w:t>)</w:t>
      </w:r>
      <w:r w:rsidR="00DC76AF" w:rsidRPr="009F3C37">
        <w:rPr>
          <w:color w:val="000000" w:themeColor="text1"/>
          <w:shd w:val="clear" w:color="auto" w:fill="FFFFFF"/>
        </w:rPr>
        <w:t>.</w:t>
      </w:r>
      <w:r w:rsidR="00AD572E" w:rsidRPr="009F3C37">
        <w:rPr>
          <w:color w:val="000000" w:themeColor="text1"/>
          <w:shd w:val="clear" w:color="auto" w:fill="FFFFFF"/>
        </w:rPr>
        <w:t xml:space="preserve"> Such practice</w:t>
      </w:r>
      <w:r w:rsidR="00AB2703" w:rsidRPr="009F3C37">
        <w:rPr>
          <w:color w:val="000000" w:themeColor="text1"/>
          <w:shd w:val="clear" w:color="auto" w:fill="FFFFFF"/>
        </w:rPr>
        <w:t>, prevalent among state courts,</w:t>
      </w:r>
      <w:r w:rsidR="00AD572E" w:rsidRPr="009F3C37">
        <w:rPr>
          <w:color w:val="000000" w:themeColor="text1"/>
          <w:shd w:val="clear" w:color="auto" w:fill="FFFFFF"/>
        </w:rPr>
        <w:t xml:space="preserve"> </w:t>
      </w:r>
      <w:r w:rsidR="00741570" w:rsidRPr="009F3C37">
        <w:rPr>
          <w:color w:val="000000" w:themeColor="text1"/>
          <w:shd w:val="clear" w:color="auto" w:fill="FFFFFF"/>
        </w:rPr>
        <w:t xml:space="preserve">flows out of </w:t>
      </w:r>
      <w:r w:rsidR="0016380C" w:rsidRPr="009F3C37">
        <w:rPr>
          <w:color w:val="000000" w:themeColor="text1"/>
          <w:shd w:val="clear" w:color="auto" w:fill="FFFFFF"/>
        </w:rPr>
        <w:t>th</w:t>
      </w:r>
      <w:r w:rsidR="00BA05DF" w:rsidRPr="009F3C37">
        <w:rPr>
          <w:color w:val="000000" w:themeColor="text1"/>
          <w:shd w:val="clear" w:color="auto" w:fill="FFFFFF"/>
        </w:rPr>
        <w:t xml:space="preserve">e recognition </w:t>
      </w:r>
      <w:r w:rsidR="00AB2703" w:rsidRPr="009F3C37">
        <w:rPr>
          <w:color w:val="000000" w:themeColor="text1"/>
          <w:shd w:val="clear" w:color="auto" w:fill="FFFFFF"/>
        </w:rPr>
        <w:t>that</w:t>
      </w:r>
      <w:r w:rsidR="00BA05DF" w:rsidRPr="009F3C37">
        <w:rPr>
          <w:color w:val="000000" w:themeColor="text1"/>
          <w:shd w:val="clear" w:color="auto" w:fill="FFFFFF"/>
        </w:rPr>
        <w:t xml:space="preserve"> </w:t>
      </w:r>
      <w:r w:rsidR="00C51ABD" w:rsidRPr="009F3C37">
        <w:rPr>
          <w:color w:val="000000" w:themeColor="text1"/>
          <w:shd w:val="clear" w:color="auto" w:fill="FFFFFF"/>
        </w:rPr>
        <w:lastRenderedPageBreak/>
        <w:t>“[w]</w:t>
      </w:r>
      <w:r w:rsidR="0013788C" w:rsidRPr="009F3C37">
        <w:rPr>
          <w:color w:val="000000" w:themeColor="text1"/>
          <w:shd w:val="clear" w:color="auto" w:fill="FFFFFF"/>
        </w:rPr>
        <w:t>hen </w:t>
      </w:r>
      <w:r w:rsidR="0013788C" w:rsidRPr="000C43AD">
        <w:rPr>
          <w:color w:val="000000" w:themeColor="text1"/>
          <w:shd w:val="clear" w:color="auto" w:fill="FFFFFF"/>
        </w:rPr>
        <w:t>interpreting</w:t>
      </w:r>
      <w:r w:rsidR="0013788C" w:rsidRPr="009F3C37">
        <w:rPr>
          <w:color w:val="000000" w:themeColor="text1"/>
          <w:shd w:val="clear" w:color="auto" w:fill="FFFFFF"/>
        </w:rPr>
        <w:t> </w:t>
      </w:r>
      <w:r w:rsidR="000B3E63" w:rsidRPr="009F3C37">
        <w:rPr>
          <w:color w:val="000000" w:themeColor="text1"/>
          <w:shd w:val="clear" w:color="auto" w:fill="FFFFFF"/>
        </w:rPr>
        <w:t>[a state]</w:t>
      </w:r>
      <w:r w:rsidR="0013788C" w:rsidRPr="009F3C37">
        <w:rPr>
          <w:color w:val="000000" w:themeColor="text1"/>
          <w:shd w:val="clear" w:color="auto" w:fill="FFFFFF"/>
        </w:rPr>
        <w:t> </w:t>
      </w:r>
      <w:r w:rsidR="000B3E63" w:rsidRPr="009F3C37">
        <w:rPr>
          <w:color w:val="000000" w:themeColor="text1"/>
          <w:shd w:val="clear" w:color="auto" w:fill="FFFFFF"/>
        </w:rPr>
        <w:t>[c]</w:t>
      </w:r>
      <w:r w:rsidR="0013788C" w:rsidRPr="000C43AD">
        <w:rPr>
          <w:color w:val="000000" w:themeColor="text1"/>
          <w:shd w:val="clear" w:color="auto" w:fill="FFFFFF"/>
        </w:rPr>
        <w:t>onstitution</w:t>
      </w:r>
      <w:r w:rsidR="0013788C" w:rsidRPr="009F3C37">
        <w:rPr>
          <w:color w:val="000000" w:themeColor="text1"/>
          <w:shd w:val="clear" w:color="auto" w:fill="FFFFFF"/>
        </w:rPr>
        <w:t>, the overriding objective is to give effect to the intent and purpose of the people adopting the constitutional statement</w:t>
      </w:r>
      <w:r w:rsidR="00C51ABD" w:rsidRPr="009F3C37">
        <w:rPr>
          <w:color w:val="000000" w:themeColor="text1"/>
          <w:shd w:val="clear" w:color="auto" w:fill="FFFFFF"/>
        </w:rPr>
        <w:t>,” and</w:t>
      </w:r>
      <w:r w:rsidR="001F1545" w:rsidRPr="009F3C37">
        <w:rPr>
          <w:color w:val="000000" w:themeColor="text1"/>
          <w:shd w:val="clear" w:color="auto" w:fill="FFFFFF"/>
        </w:rPr>
        <w:t xml:space="preserve"> </w:t>
      </w:r>
      <w:r w:rsidR="00416D34" w:rsidRPr="009F3C37">
        <w:rPr>
          <w:color w:val="000000" w:themeColor="text1"/>
          <w:shd w:val="clear" w:color="auto" w:fill="FFFFFF"/>
        </w:rPr>
        <w:t>“</w:t>
      </w:r>
      <w:r w:rsidR="001F1545" w:rsidRPr="009F3C37">
        <w:rPr>
          <w:color w:val="000000" w:themeColor="text1"/>
          <w:shd w:val="clear" w:color="auto" w:fill="FFFFFF"/>
        </w:rPr>
        <w:t>it should not be assumed that words have been used to no purpose</w:t>
      </w:r>
      <w:r w:rsidR="00BB14B4" w:rsidRPr="009F3C37">
        <w:rPr>
          <w:color w:val="000000" w:themeColor="text1"/>
        </w:rPr>
        <w:t>.</w:t>
      </w:r>
      <w:r w:rsidR="00B24063" w:rsidRPr="009F3C37">
        <w:rPr>
          <w:color w:val="000000" w:themeColor="text1"/>
        </w:rPr>
        <w:t xml:space="preserve">” </w:t>
      </w:r>
      <w:r w:rsidR="00F76D1C" w:rsidRPr="000C43AD">
        <w:rPr>
          <w:rFonts w:eastAsiaTheme="majorEastAsia"/>
          <w:i/>
          <w:iCs/>
        </w:rPr>
        <w:t>Kelsh v. Jaeger</w:t>
      </w:r>
      <w:r w:rsidR="00F76D1C" w:rsidRPr="000C43AD">
        <w:rPr>
          <w:rFonts w:eastAsiaTheme="majorEastAsia"/>
        </w:rPr>
        <w:t>, 2002 ND 53, 641 N.W.2d 100, 104</w:t>
      </w:r>
      <w:r w:rsidR="003C6E56">
        <w:rPr>
          <w:rFonts w:eastAsiaTheme="majorEastAsia"/>
          <w:bdr w:val="none" w:sz="0" w:space="0" w:color="auto" w:frame="1"/>
          <w:shd w:val="clear" w:color="auto" w:fill="FFFFFF"/>
        </w:rPr>
        <w:t xml:space="preserve"> </w:t>
      </w:r>
      <w:r w:rsidR="00F76D1C" w:rsidRPr="000C43AD">
        <w:rPr>
          <w:rFonts w:eastAsiaTheme="majorEastAsia"/>
        </w:rPr>
        <w:t>(2002)</w:t>
      </w:r>
      <w:r w:rsidR="00B24063" w:rsidRPr="009F3C37">
        <w:rPr>
          <w:color w:val="000000" w:themeColor="text1"/>
        </w:rPr>
        <w:t xml:space="preserve">; </w:t>
      </w:r>
      <w:r w:rsidR="007A45B4" w:rsidRPr="000C43AD">
        <w:rPr>
          <w:color w:val="000000" w:themeColor="text1"/>
        </w:rPr>
        <w:t>STATE ex rel. CITY OF FARGO v. WETZ, 40 N.D. 326, 168 N.W. 835, 849, (1918)</w:t>
      </w:r>
      <w:r w:rsidR="00F76D1C" w:rsidRPr="009F3C37">
        <w:rPr>
          <w:color w:val="000000" w:themeColor="text1"/>
        </w:rPr>
        <w:t xml:space="preserve">. </w:t>
      </w:r>
      <w:r w:rsidR="00BB14B4" w:rsidRPr="009F3C37">
        <w:rPr>
          <w:i/>
          <w:iCs/>
          <w:color w:val="000000" w:themeColor="text1"/>
        </w:rPr>
        <w:t xml:space="preserve">See generally </w:t>
      </w:r>
      <w:r w:rsidR="00BB14B4" w:rsidRPr="009F3C37">
        <w:rPr>
          <w:color w:val="000000" w:themeColor="text1"/>
        </w:rPr>
        <w:t>Michael L. Smith, “Holistic Constitutional Interpretation,” 24 Geo. J. L. &amp; Pub. Pol’y 1, 3 (</w:t>
      </w:r>
      <w:commentRangeStart w:id="28"/>
      <w:r w:rsidR="00BB14B4" w:rsidRPr="009F3C37">
        <w:rPr>
          <w:color w:val="000000" w:themeColor="text1"/>
        </w:rPr>
        <w:t xml:space="preserve">forthcoming </w:t>
      </w:r>
      <w:commentRangeEnd w:id="28"/>
      <w:r w:rsidR="009F3C37" w:rsidRPr="009F3C37">
        <w:rPr>
          <w:rStyle w:val="CommentReference"/>
          <w:color w:val="000000" w:themeColor="text1"/>
          <w:sz w:val="24"/>
          <w:szCs w:val="24"/>
        </w:rPr>
        <w:commentReference w:id="28"/>
      </w:r>
      <w:r w:rsidR="00BB14B4" w:rsidRPr="009F3C37">
        <w:rPr>
          <w:color w:val="000000" w:themeColor="text1"/>
        </w:rPr>
        <w:t>2026)</w:t>
      </w:r>
      <w:r w:rsidR="00B85392" w:rsidRPr="009F3C37">
        <w:rPr>
          <w:color w:val="000000" w:themeColor="text1"/>
        </w:rPr>
        <w:t xml:space="preserve"> </w:t>
      </w:r>
      <w:r w:rsidR="003504A5" w:rsidRPr="009F3C37">
        <w:rPr>
          <w:color w:val="000000" w:themeColor="text1"/>
        </w:rPr>
        <w:t>(identifying forty states that require holistic review in contrast to the U.S. Supreme Court’s “tend[ency] toward a clause-bound approach when interpreting the Constitution—focusing on single provisions or even individual words within those provisions.</w:t>
      </w:r>
      <w:r w:rsidR="000A6473" w:rsidRPr="009F3C37">
        <w:rPr>
          <w:color w:val="000000" w:themeColor="text1"/>
        </w:rPr>
        <w:t>”)</w:t>
      </w:r>
      <w:r w:rsidR="00EF5D8D" w:rsidRPr="009F3C37">
        <w:rPr>
          <w:color w:val="000000" w:themeColor="text1"/>
        </w:rPr>
        <w:t>.</w:t>
      </w:r>
    </w:p>
    <w:p w14:paraId="6480D3A2" w14:textId="4D71869D" w:rsidR="00CF031D" w:rsidRPr="000C43AD" w:rsidRDefault="00C97081" w:rsidP="00CF031D">
      <w:pPr>
        <w:spacing w:line="480" w:lineRule="auto"/>
        <w:ind w:firstLine="720"/>
        <w:jc w:val="both"/>
        <w:rPr>
          <w:color w:val="000000" w:themeColor="text1"/>
          <w:shd w:val="clear" w:color="auto" w:fill="FFFFFF"/>
        </w:rPr>
      </w:pPr>
      <w:r w:rsidRPr="009F3C37">
        <w:rPr>
          <w:color w:val="000000" w:themeColor="text1"/>
        </w:rPr>
        <w:t>P</w:t>
      </w:r>
      <w:r w:rsidR="005A4914" w:rsidRPr="009F3C37">
        <w:rPr>
          <w:color w:val="000000" w:themeColor="text1"/>
        </w:rPr>
        <w:t>resumptively align</w:t>
      </w:r>
      <w:r w:rsidRPr="009F3C37">
        <w:rPr>
          <w:color w:val="000000" w:themeColor="text1"/>
        </w:rPr>
        <w:t>ing</w:t>
      </w:r>
      <w:r w:rsidR="005A4914" w:rsidRPr="009F3C37">
        <w:rPr>
          <w:color w:val="000000" w:themeColor="text1"/>
        </w:rPr>
        <w:t xml:space="preserve"> state constitution</w:t>
      </w:r>
      <w:r w:rsidRPr="009F3C37">
        <w:rPr>
          <w:color w:val="000000" w:themeColor="text1"/>
        </w:rPr>
        <w:t>al protections with</w:t>
      </w:r>
      <w:r w:rsidR="005A4914" w:rsidRPr="009F3C37">
        <w:rPr>
          <w:color w:val="000000" w:themeColor="text1"/>
        </w:rPr>
        <w:t xml:space="preserve"> the federal constitution</w:t>
      </w:r>
      <w:r w:rsidRPr="009F3C37">
        <w:rPr>
          <w:color w:val="000000" w:themeColor="text1"/>
        </w:rPr>
        <w:t xml:space="preserve"> </w:t>
      </w:r>
      <w:r w:rsidR="00FF1FA1" w:rsidRPr="009F3C37">
        <w:rPr>
          <w:color w:val="000000" w:themeColor="text1"/>
          <w:shd w:val="clear" w:color="auto" w:fill="FFFFFF"/>
        </w:rPr>
        <w:t>risk</w:t>
      </w:r>
      <w:r w:rsidRPr="009F3C37">
        <w:rPr>
          <w:color w:val="000000" w:themeColor="text1"/>
          <w:shd w:val="clear" w:color="auto" w:fill="FFFFFF"/>
        </w:rPr>
        <w:t>s</w:t>
      </w:r>
      <w:r w:rsidR="00FF1FA1" w:rsidRPr="009F3C37">
        <w:rPr>
          <w:color w:val="000000" w:themeColor="text1"/>
          <w:shd w:val="clear" w:color="auto" w:fill="FFFFFF"/>
        </w:rPr>
        <w:t xml:space="preserve"> eschewing th</w:t>
      </w:r>
      <w:r w:rsidR="005A4914" w:rsidRPr="009F3C37">
        <w:rPr>
          <w:color w:val="000000" w:themeColor="text1"/>
          <w:shd w:val="clear" w:color="auto" w:fill="FFFFFF"/>
        </w:rPr>
        <w:t>is</w:t>
      </w:r>
      <w:r w:rsidR="00FF1FA1" w:rsidRPr="009F3C37">
        <w:rPr>
          <w:color w:val="000000" w:themeColor="text1"/>
          <w:shd w:val="clear" w:color="auto" w:fill="FFFFFF"/>
        </w:rPr>
        <w:t xml:space="preserve"> principle of holistic interpretation because it short circuits an inquiry into how other state constitutional clauses – some of which</w:t>
      </w:r>
      <w:r w:rsidR="00CB4801">
        <w:rPr>
          <w:color w:val="000000" w:themeColor="text1"/>
          <w:shd w:val="clear" w:color="auto" w:fill="FFFFFF"/>
        </w:rPr>
        <w:t>, like North Dakota’s inalienable rights clause,</w:t>
      </w:r>
      <w:r w:rsidR="00FF1FA1" w:rsidRPr="009F3C37">
        <w:rPr>
          <w:color w:val="000000" w:themeColor="text1"/>
          <w:shd w:val="clear" w:color="auto" w:fill="FFFFFF"/>
        </w:rPr>
        <w:t xml:space="preserve"> may not even have a federal constitutional analogue – impact the meaning of any individual </w:t>
      </w:r>
      <w:commentRangeStart w:id="29"/>
      <w:commentRangeStart w:id="30"/>
      <w:r w:rsidR="00FF1FA1" w:rsidRPr="009F3C37">
        <w:rPr>
          <w:color w:val="000000" w:themeColor="text1"/>
          <w:shd w:val="clear" w:color="auto" w:fill="FFFFFF"/>
        </w:rPr>
        <w:t>provision</w:t>
      </w:r>
      <w:commentRangeEnd w:id="29"/>
      <w:r w:rsidR="009F3C37" w:rsidRPr="009F3C37">
        <w:rPr>
          <w:rStyle w:val="CommentReference"/>
          <w:color w:val="000000" w:themeColor="text1"/>
          <w:sz w:val="24"/>
          <w:szCs w:val="24"/>
          <w:shd w:val="clear" w:color="auto" w:fill="FFFFFF"/>
        </w:rPr>
        <w:commentReference w:id="29"/>
      </w:r>
      <w:commentRangeEnd w:id="30"/>
      <w:r w:rsidR="00893023" w:rsidRPr="009F3C37">
        <w:rPr>
          <w:rStyle w:val="CommentReference"/>
          <w:color w:val="000000" w:themeColor="text1"/>
          <w:sz w:val="24"/>
          <w:szCs w:val="24"/>
          <w:shd w:val="clear" w:color="auto" w:fill="FFFFFF"/>
        </w:rPr>
        <w:commentReference w:id="30"/>
      </w:r>
      <w:r w:rsidR="00FF1FA1" w:rsidRPr="009F3C37">
        <w:rPr>
          <w:color w:val="000000" w:themeColor="text1"/>
          <w:shd w:val="clear" w:color="auto" w:fill="FFFFFF"/>
        </w:rPr>
        <w:t>.</w:t>
      </w:r>
      <w:r w:rsidR="0000341D" w:rsidRPr="009F3C37">
        <w:rPr>
          <w:color w:val="000000" w:themeColor="text1"/>
          <w:shd w:val="clear" w:color="auto" w:fill="FFFFFF"/>
        </w:rPr>
        <w:t xml:space="preserve"> </w:t>
      </w:r>
    </w:p>
    <w:p w14:paraId="585C6164" w14:textId="3BCA462C" w:rsidR="00E001D5" w:rsidRPr="000C43AD" w:rsidRDefault="00427EAE" w:rsidP="0053318F">
      <w:pPr>
        <w:spacing w:line="480" w:lineRule="auto"/>
        <w:ind w:firstLine="720"/>
        <w:jc w:val="both"/>
        <w:rPr>
          <w:i/>
          <w:iCs/>
          <w:color w:val="000000" w:themeColor="text1"/>
        </w:rPr>
      </w:pPr>
      <w:r w:rsidRPr="009F3C37">
        <w:rPr>
          <w:color w:val="000000" w:themeColor="text1"/>
          <w:shd w:val="clear" w:color="auto" w:fill="FFFFFF"/>
        </w:rPr>
        <w:t xml:space="preserve">When state courts </w:t>
      </w:r>
      <w:r w:rsidR="00AB2703" w:rsidRPr="009F3C37">
        <w:rPr>
          <w:color w:val="000000" w:themeColor="text1"/>
          <w:shd w:val="clear" w:color="auto" w:fill="FFFFFF"/>
        </w:rPr>
        <w:t xml:space="preserve">apply holistic review, </w:t>
      </w:r>
      <w:r w:rsidR="008B4DDD" w:rsidRPr="009F3C37">
        <w:rPr>
          <w:color w:val="000000" w:themeColor="text1"/>
          <w:shd w:val="clear" w:color="auto" w:fill="FFFFFF"/>
        </w:rPr>
        <w:t>“</w:t>
      </w:r>
      <w:r w:rsidR="008B4DDD" w:rsidRPr="009F3C37">
        <w:rPr>
          <w:color w:val="000000"/>
        </w:rPr>
        <w:t>put</w:t>
      </w:r>
      <w:r w:rsidR="00AB2703" w:rsidRPr="009F3C37">
        <w:rPr>
          <w:color w:val="000000"/>
        </w:rPr>
        <w:t>[ting]</w:t>
      </w:r>
      <w:r w:rsidR="008B4DDD" w:rsidRPr="009F3C37">
        <w:rPr>
          <w:color w:val="000000"/>
        </w:rPr>
        <w:t xml:space="preserve"> the words, phrases, and clauses into the context of the section, article, or Constitution, as a whole,” </w:t>
      </w:r>
      <w:r w:rsidR="005C09A2" w:rsidRPr="009F3C37">
        <w:rPr>
          <w:color w:val="000000"/>
        </w:rPr>
        <w:t xml:space="preserve">Tufte, at </w:t>
      </w:r>
      <w:r w:rsidR="00E027DB" w:rsidRPr="009F3C37">
        <w:rPr>
          <w:color w:val="000000"/>
        </w:rPr>
        <w:t xml:space="preserve">454, </w:t>
      </w:r>
      <w:r w:rsidRPr="009F3C37">
        <w:rPr>
          <w:color w:val="000000" w:themeColor="text1"/>
          <w:shd w:val="clear" w:color="auto" w:fill="FFFFFF"/>
        </w:rPr>
        <w:t xml:space="preserve">they </w:t>
      </w:r>
      <w:r w:rsidR="00F54112" w:rsidRPr="009F3C37">
        <w:rPr>
          <w:color w:val="000000" w:themeColor="text1"/>
          <w:shd w:val="clear" w:color="auto" w:fill="FFFFFF"/>
        </w:rPr>
        <w:t>sometimes find</w:t>
      </w:r>
      <w:r w:rsidRPr="009F3C37">
        <w:rPr>
          <w:color w:val="000000" w:themeColor="text1"/>
          <w:shd w:val="clear" w:color="auto" w:fill="FFFFFF"/>
        </w:rPr>
        <w:t xml:space="preserve"> that</w:t>
      </w:r>
      <w:r w:rsidR="008B4DDD" w:rsidRPr="009F3C37">
        <w:rPr>
          <w:color w:val="000000" w:themeColor="text1"/>
          <w:shd w:val="clear" w:color="auto" w:fill="FFFFFF"/>
        </w:rPr>
        <w:t xml:space="preserve"> a</w:t>
      </w:r>
      <w:r w:rsidRPr="009F3C37">
        <w:rPr>
          <w:color w:val="000000" w:themeColor="text1"/>
          <w:shd w:val="clear" w:color="auto" w:fill="FFFFFF"/>
        </w:rPr>
        <w:t xml:space="preserve"> </w:t>
      </w:r>
      <w:r w:rsidR="008B4DDD" w:rsidRPr="009F3C37">
        <w:rPr>
          <w:color w:val="000000" w:themeColor="text1"/>
        </w:rPr>
        <w:t>s</w:t>
      </w:r>
      <w:r w:rsidR="009F5026" w:rsidRPr="009F3C37">
        <w:rPr>
          <w:color w:val="000000" w:themeColor="text1"/>
        </w:rPr>
        <w:t>tate</w:t>
      </w:r>
      <w:r w:rsidR="00086DA5" w:rsidRPr="009F3C37">
        <w:rPr>
          <w:color w:val="000000" w:themeColor="text1"/>
        </w:rPr>
        <w:t xml:space="preserve"> </w:t>
      </w:r>
      <w:r w:rsidR="00A94059" w:rsidRPr="009F3C37">
        <w:rPr>
          <w:color w:val="000000" w:themeColor="text1"/>
        </w:rPr>
        <w:t>constitutional provisi</w:t>
      </w:r>
      <w:r w:rsidR="008B4DDD" w:rsidRPr="009F3C37">
        <w:rPr>
          <w:color w:val="000000" w:themeColor="text1"/>
        </w:rPr>
        <w:t>on</w:t>
      </w:r>
      <w:r w:rsidR="00EA4466" w:rsidRPr="009F3C37">
        <w:rPr>
          <w:color w:val="000000" w:themeColor="text1"/>
          <w:shd w:val="clear" w:color="auto" w:fill="FFFFFF"/>
        </w:rPr>
        <w:t xml:space="preserve"> </w:t>
      </w:r>
      <w:r w:rsidR="00FB2127" w:rsidRPr="009F3C37">
        <w:rPr>
          <w:color w:val="000000" w:themeColor="text1"/>
          <w:shd w:val="clear" w:color="auto" w:fill="FFFFFF"/>
        </w:rPr>
        <w:t>“augment</w:t>
      </w:r>
      <w:r w:rsidR="008B4DDD" w:rsidRPr="009F3C37">
        <w:rPr>
          <w:color w:val="000000" w:themeColor="text1"/>
          <w:shd w:val="clear" w:color="auto" w:fill="FFFFFF"/>
        </w:rPr>
        <w:t>s</w:t>
      </w:r>
      <w:r w:rsidR="00FB2127" w:rsidRPr="009F3C37">
        <w:rPr>
          <w:color w:val="000000" w:themeColor="text1"/>
          <w:shd w:val="clear" w:color="auto" w:fill="FFFFFF"/>
        </w:rPr>
        <w:t>”</w:t>
      </w:r>
      <w:r w:rsidR="00EA4466" w:rsidRPr="009F3C37">
        <w:rPr>
          <w:color w:val="000000" w:themeColor="text1"/>
          <w:shd w:val="clear" w:color="auto" w:fill="FFFFFF"/>
        </w:rPr>
        <w:t xml:space="preserve"> </w:t>
      </w:r>
      <w:r w:rsidR="008B4DDD" w:rsidRPr="009F3C37">
        <w:rPr>
          <w:color w:val="000000" w:themeColor="text1"/>
          <w:shd w:val="clear" w:color="auto" w:fill="FFFFFF"/>
        </w:rPr>
        <w:t xml:space="preserve">another </w:t>
      </w:r>
      <w:r w:rsidR="009149E9" w:rsidRPr="009F3C37">
        <w:rPr>
          <w:color w:val="000000" w:themeColor="text1"/>
          <w:shd w:val="clear" w:color="auto" w:fill="FFFFFF"/>
        </w:rPr>
        <w:t>provision</w:t>
      </w:r>
      <w:r w:rsidR="003D118D" w:rsidRPr="009F3C37">
        <w:rPr>
          <w:color w:val="000000" w:themeColor="text1"/>
          <w:shd w:val="clear" w:color="auto" w:fill="FFFFFF"/>
        </w:rPr>
        <w:t xml:space="preserve"> found elsewhere in </w:t>
      </w:r>
      <w:r w:rsidR="00E027DB" w:rsidRPr="009F3C37">
        <w:rPr>
          <w:color w:val="000000" w:themeColor="text1"/>
          <w:shd w:val="clear" w:color="auto" w:fill="FFFFFF"/>
        </w:rPr>
        <w:t xml:space="preserve">the </w:t>
      </w:r>
      <w:r w:rsidR="003D118D" w:rsidRPr="009F3C37">
        <w:rPr>
          <w:color w:val="000000" w:themeColor="text1"/>
          <w:shd w:val="clear" w:color="auto" w:fill="FFFFFF"/>
        </w:rPr>
        <w:t xml:space="preserve">state </w:t>
      </w:r>
      <w:r w:rsidR="00C45081" w:rsidRPr="009F3C37">
        <w:rPr>
          <w:color w:val="000000" w:themeColor="text1"/>
          <w:shd w:val="clear" w:color="auto" w:fill="FFFFFF"/>
        </w:rPr>
        <w:t>constitution</w:t>
      </w:r>
      <w:r w:rsidR="008B4DDD" w:rsidRPr="009F3C37">
        <w:rPr>
          <w:color w:val="000000" w:themeColor="text1"/>
          <w:shd w:val="clear" w:color="auto" w:fill="FFFFFF"/>
        </w:rPr>
        <w:t xml:space="preserve">. </w:t>
      </w:r>
      <w:r w:rsidR="00F54112" w:rsidRPr="009F3C37">
        <w:rPr>
          <w:i/>
          <w:iCs/>
          <w:color w:val="000000" w:themeColor="text1"/>
          <w:shd w:val="clear" w:color="auto" w:fill="FFFFFF"/>
        </w:rPr>
        <w:t>State v. $129,970</w:t>
      </w:r>
      <w:r w:rsidR="00F54112" w:rsidRPr="009F3C37">
        <w:rPr>
          <w:color w:val="000000" w:themeColor="text1"/>
          <w:shd w:val="clear" w:color="auto" w:fill="FFFFFF"/>
        </w:rPr>
        <w:t>, 161 P.3d 816, 821 (Mont. 2007) (“</w:t>
      </w:r>
      <w:r w:rsidR="0058084F" w:rsidRPr="009F3C37">
        <w:rPr>
          <w:color w:val="000000" w:themeColor="text1"/>
          <w:shd w:val="clear" w:color="auto" w:fill="FFFFFF"/>
        </w:rPr>
        <w:t>Th</w:t>
      </w:r>
      <w:r w:rsidR="00F54112" w:rsidRPr="009F3C37">
        <w:rPr>
          <w:color w:val="000000" w:themeColor="text1"/>
          <w:shd w:val="clear" w:color="auto" w:fill="FFFFFF"/>
        </w:rPr>
        <w:t>e right to privacy in Article II, Section 10 of the Montana Constitution augments</w:t>
      </w:r>
      <w:r w:rsidR="00F54112" w:rsidRPr="009F3C37">
        <w:rPr>
          <w:i/>
          <w:iCs/>
          <w:color w:val="000000" w:themeColor="text1"/>
          <w:shd w:val="clear" w:color="auto" w:fill="FFFFFF"/>
        </w:rPr>
        <w:t xml:space="preserve"> </w:t>
      </w:r>
      <w:r w:rsidR="00F54112" w:rsidRPr="009F3C37">
        <w:rPr>
          <w:color w:val="000000" w:themeColor="text1"/>
          <w:shd w:val="clear" w:color="auto" w:fill="FFFFFF"/>
        </w:rPr>
        <w:t>the protection against unreasonable searches and seizures</w:t>
      </w:r>
      <w:r w:rsidR="0058084F" w:rsidRPr="009F3C37">
        <w:rPr>
          <w:color w:val="000000" w:themeColor="text1"/>
          <w:shd w:val="clear" w:color="auto" w:fill="FFFFFF"/>
        </w:rPr>
        <w:t>.</w:t>
      </w:r>
      <w:r w:rsidR="00F54112" w:rsidRPr="009F3C37">
        <w:rPr>
          <w:color w:val="000000" w:themeColor="text1"/>
          <w:shd w:val="clear" w:color="auto" w:fill="FFFFFF"/>
        </w:rPr>
        <w:t xml:space="preserve">”). </w:t>
      </w:r>
      <w:r w:rsidR="00116D9F" w:rsidRPr="009F3C37">
        <w:rPr>
          <w:i/>
          <w:iCs/>
          <w:color w:val="000000" w:themeColor="text1"/>
          <w:shd w:val="clear" w:color="auto" w:fill="FFFFFF"/>
        </w:rPr>
        <w:t>See also State ex rel. Cleveringa v. Klein</w:t>
      </w:r>
      <w:r w:rsidR="00116D9F" w:rsidRPr="009F3C37">
        <w:rPr>
          <w:color w:val="000000" w:themeColor="text1"/>
          <w:shd w:val="clear" w:color="auto" w:fill="FFFFFF"/>
        </w:rPr>
        <w:t xml:space="preserve">, 63 N.D. 514, 249 N.W. 118, 119 (1933) (recognizing that </w:t>
      </w:r>
      <w:r w:rsidR="00C8236D" w:rsidRPr="009F3C37">
        <w:rPr>
          <w:color w:val="000000" w:themeColor="text1"/>
          <w:shd w:val="clear" w:color="auto" w:fill="FFFFFF"/>
        </w:rPr>
        <w:t xml:space="preserve">Article I, </w:t>
      </w:r>
      <w:r w:rsidR="00116D9F" w:rsidRPr="009F3C37">
        <w:rPr>
          <w:color w:val="000000" w:themeColor="text1"/>
          <w:shd w:val="clear" w:color="auto" w:fill="FFFFFF"/>
        </w:rPr>
        <w:t xml:space="preserve">Section 20 of North Dakota’s </w:t>
      </w:r>
      <w:r w:rsidR="00C8236D" w:rsidRPr="009F3C37">
        <w:rPr>
          <w:color w:val="000000" w:themeColor="text1"/>
          <w:shd w:val="clear" w:color="auto" w:fill="FFFFFF"/>
        </w:rPr>
        <w:t>constitution</w:t>
      </w:r>
      <w:r w:rsidR="00116D9F" w:rsidRPr="009F3C37">
        <w:rPr>
          <w:color w:val="000000" w:themeColor="text1"/>
          <w:shd w:val="clear" w:color="auto" w:fill="FFFFFF"/>
        </w:rPr>
        <w:t xml:space="preserve"> bolsters limitations on governmental interference with the rights contained in North Dakota’s Bill of Rights). </w:t>
      </w:r>
      <w:r w:rsidR="00FB230B" w:rsidRPr="009F3C37">
        <w:rPr>
          <w:color w:val="000000" w:themeColor="text1"/>
          <w:shd w:val="clear" w:color="auto" w:fill="FFFFFF"/>
        </w:rPr>
        <w:t>In such circumstances</w:t>
      </w:r>
      <w:r w:rsidR="008B4DDD" w:rsidRPr="009F3C37">
        <w:rPr>
          <w:color w:val="000000" w:themeColor="text1"/>
          <w:shd w:val="clear" w:color="auto" w:fill="FFFFFF"/>
        </w:rPr>
        <w:t xml:space="preserve">, courts </w:t>
      </w:r>
      <w:r w:rsidR="0058084F" w:rsidRPr="009F3C37">
        <w:rPr>
          <w:color w:val="000000" w:themeColor="text1"/>
          <w:shd w:val="clear" w:color="auto" w:fill="FFFFFF"/>
        </w:rPr>
        <w:t xml:space="preserve">sometimes </w:t>
      </w:r>
      <w:r w:rsidR="008B4DDD" w:rsidRPr="009F3C37">
        <w:rPr>
          <w:color w:val="000000" w:themeColor="text1"/>
          <w:shd w:val="clear" w:color="auto" w:fill="FFFFFF"/>
        </w:rPr>
        <w:lastRenderedPageBreak/>
        <w:t>apply</w:t>
      </w:r>
      <w:r w:rsidR="00F54112" w:rsidRPr="009F3C37">
        <w:rPr>
          <w:color w:val="000000" w:themeColor="text1"/>
          <w:shd w:val="clear" w:color="auto" w:fill="FFFFFF"/>
        </w:rPr>
        <w:t xml:space="preserve"> more rigorous scrutiny</w:t>
      </w:r>
      <w:r w:rsidR="00116D9F" w:rsidRPr="009F3C37">
        <w:rPr>
          <w:color w:val="000000" w:themeColor="text1"/>
          <w:shd w:val="clear" w:color="auto" w:fill="FFFFFF"/>
        </w:rPr>
        <w:t xml:space="preserve"> to state legislation</w:t>
      </w:r>
      <w:r w:rsidR="00F54112" w:rsidRPr="009F3C37">
        <w:rPr>
          <w:color w:val="000000" w:themeColor="text1"/>
          <w:shd w:val="clear" w:color="auto" w:fill="FFFFFF"/>
        </w:rPr>
        <w:t xml:space="preserve">, </w:t>
      </w:r>
      <w:r w:rsidR="00EC2734" w:rsidRPr="009F3C37">
        <w:rPr>
          <w:color w:val="000000" w:themeColor="text1"/>
          <w:shd w:val="clear" w:color="auto" w:fill="FFFFFF"/>
        </w:rPr>
        <w:t>such as by</w:t>
      </w:r>
      <w:r w:rsidR="004067BE" w:rsidRPr="009F3C37">
        <w:rPr>
          <w:color w:val="000000" w:themeColor="text1"/>
          <w:shd w:val="clear" w:color="auto" w:fill="FFFFFF"/>
        </w:rPr>
        <w:t xml:space="preserve"> elevating the standard of review or </w:t>
      </w:r>
      <w:r w:rsidR="00A40C59" w:rsidRPr="009F3C37">
        <w:rPr>
          <w:color w:val="000000" w:themeColor="text1"/>
          <w:shd w:val="clear" w:color="auto" w:fill="FFFFFF"/>
        </w:rPr>
        <w:t xml:space="preserve">requiring courts to be less tolerant of </w:t>
      </w:r>
      <w:r w:rsidR="00C2231B" w:rsidRPr="009F3C37">
        <w:rPr>
          <w:color w:val="000000" w:themeColor="text1"/>
          <w:shd w:val="clear" w:color="auto" w:fill="FFFFFF"/>
        </w:rPr>
        <w:t xml:space="preserve">legislative </w:t>
      </w:r>
      <w:r w:rsidR="00A40C59" w:rsidRPr="009F3C37">
        <w:rPr>
          <w:color w:val="000000" w:themeColor="text1"/>
          <w:shd w:val="clear" w:color="auto" w:fill="FFFFFF"/>
        </w:rPr>
        <w:t xml:space="preserve">classifications that would otherwise </w:t>
      </w:r>
      <w:r w:rsidR="00C2231B" w:rsidRPr="009F3C37">
        <w:rPr>
          <w:color w:val="000000" w:themeColor="text1"/>
          <w:shd w:val="clear" w:color="auto" w:fill="FFFFFF"/>
        </w:rPr>
        <w:t>satisfy</w:t>
      </w:r>
      <w:r w:rsidR="00A40C59" w:rsidRPr="009F3C37">
        <w:rPr>
          <w:color w:val="000000" w:themeColor="text1"/>
          <w:shd w:val="clear" w:color="auto" w:fill="FFFFFF"/>
        </w:rPr>
        <w:t xml:space="preserve"> judicial review</w:t>
      </w:r>
      <w:r w:rsidR="00A85F75" w:rsidRPr="009F3C37">
        <w:rPr>
          <w:color w:val="000000" w:themeColor="text1"/>
          <w:shd w:val="clear" w:color="auto" w:fill="FFFFFF"/>
        </w:rPr>
        <w:t>.</w:t>
      </w:r>
      <w:r w:rsidR="0004745E" w:rsidRPr="009F3C37">
        <w:rPr>
          <w:color w:val="000000" w:themeColor="text1"/>
          <w:shd w:val="clear" w:color="auto" w:fill="FFFFFF"/>
        </w:rPr>
        <w:t xml:space="preserve"> </w:t>
      </w:r>
      <w:r w:rsidR="00B07D4D" w:rsidRPr="009F3C37">
        <w:rPr>
          <w:color w:val="000000" w:themeColor="text1"/>
          <w:shd w:val="clear" w:color="auto" w:fill="FFFFFF"/>
        </w:rPr>
        <w:t xml:space="preserve">For instance, the </w:t>
      </w:r>
      <w:r w:rsidR="00EA7E52" w:rsidRPr="009F3C37">
        <w:rPr>
          <w:color w:val="000000" w:themeColor="text1"/>
          <w:shd w:val="clear" w:color="auto" w:fill="FFFFFF"/>
        </w:rPr>
        <w:t xml:space="preserve">Supreme Court of </w:t>
      </w:r>
      <w:r w:rsidR="008810F6" w:rsidRPr="009F3C37">
        <w:rPr>
          <w:color w:val="000000" w:themeColor="text1"/>
          <w:shd w:val="clear" w:color="auto" w:fill="FFFFFF"/>
        </w:rPr>
        <w:t>Appeals</w:t>
      </w:r>
      <w:r w:rsidR="00EA7E52" w:rsidRPr="009F3C37">
        <w:rPr>
          <w:color w:val="000000" w:themeColor="text1"/>
          <w:shd w:val="clear" w:color="auto" w:fill="FFFFFF"/>
        </w:rPr>
        <w:t xml:space="preserve"> of </w:t>
      </w:r>
      <w:r w:rsidR="00B07D4D" w:rsidRPr="009F3C37">
        <w:rPr>
          <w:color w:val="000000" w:themeColor="text1"/>
          <w:shd w:val="clear" w:color="auto" w:fill="FFFFFF"/>
        </w:rPr>
        <w:t xml:space="preserve">West Virginia </w:t>
      </w:r>
      <w:r w:rsidR="00EA7E52" w:rsidRPr="009F3C37">
        <w:rPr>
          <w:color w:val="000000" w:themeColor="text1"/>
          <w:shd w:val="clear" w:color="auto" w:fill="FFFFFF"/>
        </w:rPr>
        <w:t xml:space="preserve">has found that the state constitution’s </w:t>
      </w:r>
      <w:r w:rsidR="00EA7E52" w:rsidRPr="009F3C37">
        <w:rPr>
          <w:color w:val="000000" w:themeColor="text1"/>
        </w:rPr>
        <w:t xml:space="preserve">equal protection clause enhances its public education mandate, such that “any discriminatory classification found in the State’s educational financing system cannot stand unless the State can demonstrate some compelling State interest to justify the unequal classification.” </w:t>
      </w:r>
      <w:r w:rsidR="00EA7E52" w:rsidRPr="009F3C37">
        <w:rPr>
          <w:i/>
          <w:iCs/>
          <w:color w:val="000000" w:themeColor="text1"/>
        </w:rPr>
        <w:t>Bd. of Educ. of Kanawha v. W. Va. Bd. of Educ</w:t>
      </w:r>
      <w:r w:rsidR="00EA7E52" w:rsidRPr="009F3C37">
        <w:rPr>
          <w:color w:val="000000" w:themeColor="text1"/>
        </w:rPr>
        <w:t>., 639 S.E.2d 893, 899 (W. Va. 2006).</w:t>
      </w:r>
      <w:r w:rsidR="0088227B" w:rsidRPr="009F3C37">
        <w:rPr>
          <w:color w:val="000000" w:themeColor="text1"/>
        </w:rPr>
        <w:t xml:space="preserve"> </w:t>
      </w:r>
      <w:r w:rsidR="007457B9" w:rsidRPr="009F3C37">
        <w:rPr>
          <w:i/>
          <w:iCs/>
          <w:color w:val="000000" w:themeColor="text1"/>
        </w:rPr>
        <w:t xml:space="preserve">See generally </w:t>
      </w:r>
      <w:r w:rsidR="007457B9" w:rsidRPr="009F3C37">
        <w:rPr>
          <w:color w:val="000000" w:themeColor="text1"/>
        </w:rPr>
        <w:t>Robert F. Williams, “Enhanced State Constitutional Rights: “Interpreting Two or More Provisions Together,” 2021 Wis. L. Rev. 1001 (20</w:t>
      </w:r>
      <w:r w:rsidR="00A511D2">
        <w:rPr>
          <w:color w:val="000000" w:themeColor="text1"/>
        </w:rPr>
        <w:t>2</w:t>
      </w:r>
      <w:r w:rsidR="007457B9" w:rsidRPr="009F3C37">
        <w:rPr>
          <w:color w:val="000000" w:themeColor="text1"/>
        </w:rPr>
        <w:t>1).</w:t>
      </w:r>
    </w:p>
    <w:p w14:paraId="7CE59EFD" w14:textId="73F0EF61" w:rsidR="008C3EF1" w:rsidRDefault="009F2B5E" w:rsidP="005E264F">
      <w:pPr>
        <w:spacing w:line="480" w:lineRule="auto"/>
        <w:ind w:firstLine="720"/>
        <w:jc w:val="both"/>
        <w:rPr>
          <w:color w:val="000000" w:themeColor="text1"/>
          <w:shd w:val="clear" w:color="auto" w:fill="FFFFFF"/>
        </w:rPr>
      </w:pPr>
      <w:r>
        <w:rPr>
          <w:color w:val="000000" w:themeColor="text1"/>
          <w:shd w:val="clear" w:color="auto" w:fill="FFFFFF"/>
        </w:rPr>
        <w:t xml:space="preserve">State courts should be particularly attuned to holistic review when evaluating claims </w:t>
      </w:r>
      <w:r w:rsidR="00A07F5A">
        <w:rPr>
          <w:color w:val="000000" w:themeColor="text1"/>
          <w:shd w:val="clear" w:color="auto" w:fill="FFFFFF"/>
        </w:rPr>
        <w:t>that implicate i</w:t>
      </w:r>
      <w:r w:rsidR="00307AF4">
        <w:rPr>
          <w:color w:val="000000" w:themeColor="text1"/>
          <w:shd w:val="clear" w:color="auto" w:fill="FFFFFF"/>
        </w:rPr>
        <w:t>nalienable rights clauses because</w:t>
      </w:r>
      <w:r w:rsidR="00F71443">
        <w:rPr>
          <w:color w:val="000000" w:themeColor="text1"/>
          <w:shd w:val="clear" w:color="auto" w:fill="FFFFFF"/>
        </w:rPr>
        <w:t xml:space="preserve"> they are broad provisions </w:t>
      </w:r>
      <w:r w:rsidR="00F5461A">
        <w:rPr>
          <w:color w:val="000000" w:themeColor="text1"/>
          <w:shd w:val="clear" w:color="auto" w:fill="FFFFFF"/>
        </w:rPr>
        <w:t>with</w:t>
      </w:r>
      <w:r w:rsidR="00A95BCC">
        <w:rPr>
          <w:color w:val="000000" w:themeColor="text1"/>
          <w:shd w:val="clear" w:color="auto" w:fill="FFFFFF"/>
        </w:rPr>
        <w:t xml:space="preserve"> no federal analogue</w:t>
      </w:r>
      <w:r w:rsidR="00F71443">
        <w:rPr>
          <w:color w:val="000000" w:themeColor="text1"/>
          <w:shd w:val="clear" w:color="auto" w:fill="FFFFFF"/>
        </w:rPr>
        <w:t xml:space="preserve"> that, as this court as acknowledged, </w:t>
      </w:r>
      <w:r w:rsidR="00F47739">
        <w:rPr>
          <w:color w:val="000000" w:themeColor="text1"/>
          <w:shd w:val="clear" w:color="auto" w:fill="FFFFFF"/>
        </w:rPr>
        <w:t xml:space="preserve">often </w:t>
      </w:r>
      <w:r w:rsidR="00F71443">
        <w:rPr>
          <w:color w:val="000000" w:themeColor="text1"/>
          <w:shd w:val="clear" w:color="auto" w:fill="FFFFFF"/>
        </w:rPr>
        <w:t>function jointly with other state constitutional provisions</w:t>
      </w:r>
      <w:r w:rsidR="00A95BCC">
        <w:rPr>
          <w:color w:val="000000" w:themeColor="text1"/>
          <w:shd w:val="clear" w:color="auto" w:fill="FFFFFF"/>
        </w:rPr>
        <w:t>.</w:t>
      </w:r>
      <w:r w:rsidR="00F5461A">
        <w:rPr>
          <w:color w:val="000000" w:themeColor="text1"/>
          <w:shd w:val="clear" w:color="auto" w:fill="FFFFFF"/>
        </w:rPr>
        <w:t xml:space="preserve"> </w:t>
      </w:r>
      <w:r w:rsidR="00F5461A">
        <w:rPr>
          <w:i/>
          <w:iCs/>
          <w:color w:val="000000" w:themeColor="text1"/>
          <w:shd w:val="clear" w:color="auto" w:fill="FFFFFF"/>
        </w:rPr>
        <w:t>See. e.g.</w:t>
      </w:r>
      <w:r w:rsidR="00F5461A">
        <w:rPr>
          <w:color w:val="000000" w:themeColor="text1"/>
          <w:shd w:val="clear" w:color="auto" w:fill="FFFFFF"/>
        </w:rPr>
        <w:t>,</w:t>
      </w:r>
      <w:r w:rsidR="00A95BCC">
        <w:rPr>
          <w:color w:val="000000" w:themeColor="text1"/>
          <w:shd w:val="clear" w:color="auto" w:fill="FFFFFF"/>
        </w:rPr>
        <w:t xml:space="preserve"> </w:t>
      </w:r>
      <w:r w:rsidR="00F5461A" w:rsidRPr="00B96E29">
        <w:rPr>
          <w:rFonts w:eastAsiaTheme="majorEastAsia"/>
          <w:i/>
          <w:iCs/>
          <w:bdr w:val="none" w:sz="0" w:space="0" w:color="auto" w:frame="1"/>
          <w:shd w:val="clear" w:color="auto" w:fill="FFFFFF"/>
        </w:rPr>
        <w:t>MKB Mgmt. Corp. v. Burdick</w:t>
      </w:r>
      <w:r w:rsidR="00F5461A" w:rsidRPr="00B96E29">
        <w:rPr>
          <w:rFonts w:eastAsiaTheme="majorEastAsia"/>
          <w:bdr w:val="none" w:sz="0" w:space="0" w:color="auto" w:frame="1"/>
          <w:shd w:val="clear" w:color="auto" w:fill="FFFFFF"/>
        </w:rPr>
        <w:t xml:space="preserve">, 2014 ND 197, 855 N.W.2d 31, 41 </w:t>
      </w:r>
      <w:r w:rsidR="00F5461A" w:rsidRPr="009F3C37">
        <w:rPr>
          <w:rFonts w:eastAsiaTheme="majorEastAsia"/>
          <w:bdr w:val="none" w:sz="0" w:space="0" w:color="auto" w:frame="1"/>
          <w:shd w:val="clear" w:color="auto" w:fill="FFFFFF"/>
        </w:rPr>
        <w:t>(</w:t>
      </w:r>
      <w:r w:rsidR="00F5461A" w:rsidRPr="00B96E29">
        <w:rPr>
          <w:rFonts w:eastAsiaTheme="majorEastAsia"/>
          <w:bdr w:val="none" w:sz="0" w:space="0" w:color="auto" w:frame="1"/>
          <w:shd w:val="clear" w:color="auto" w:fill="FFFFFF"/>
        </w:rPr>
        <w:t>2014)</w:t>
      </w:r>
      <w:r w:rsidR="00F5461A">
        <w:rPr>
          <w:color w:val="000000" w:themeColor="text1"/>
          <w:shd w:val="clear" w:color="auto" w:fill="FFFFFF"/>
        </w:rPr>
        <w:t>. (“T</w:t>
      </w:r>
      <w:r w:rsidR="00122D3D">
        <w:rPr>
          <w:color w:val="000000" w:themeColor="text1"/>
          <w:shd w:val="clear" w:color="auto" w:fill="FFFFFF"/>
        </w:rPr>
        <w:t xml:space="preserve">his Court </w:t>
      </w:r>
      <w:r w:rsidR="008C3EF1" w:rsidRPr="0000341D">
        <w:rPr>
          <w:color w:val="000000" w:themeColor="text1"/>
          <w:shd w:val="clear" w:color="auto" w:fill="FFFFFF"/>
        </w:rPr>
        <w:t>has recognized the due process language in </w:t>
      </w:r>
      <w:r w:rsidR="008C3EF1" w:rsidRPr="00B96E29">
        <w:rPr>
          <w:color w:val="000000" w:themeColor="text1"/>
          <w:shd w:val="clear" w:color="auto" w:fill="FFFFFF"/>
        </w:rPr>
        <w:t>N.D. Const. art I, § 12</w:t>
      </w:r>
      <w:r w:rsidR="008C3EF1" w:rsidRPr="0000341D">
        <w:rPr>
          <w:color w:val="000000" w:themeColor="text1"/>
          <w:shd w:val="clear" w:color="auto" w:fill="FFFFFF"/>
        </w:rPr>
        <w:t xml:space="preserve"> protects and </w:t>
      </w:r>
      <w:r w:rsidR="008C3EF1" w:rsidRPr="009F3C37">
        <w:rPr>
          <w:color w:val="000000" w:themeColor="text1"/>
          <w:shd w:val="clear" w:color="auto" w:fill="FFFFFF"/>
        </w:rPr>
        <w:t>ensures</w:t>
      </w:r>
      <w:r w:rsidR="008C3EF1" w:rsidRPr="0000341D">
        <w:rPr>
          <w:color w:val="000000" w:themeColor="text1"/>
          <w:shd w:val="clear" w:color="auto" w:fill="FFFFFF"/>
        </w:rPr>
        <w:t xml:space="preserve"> the use and enjoinment of the rights declared by </w:t>
      </w:r>
      <w:r w:rsidR="008C3EF1" w:rsidRPr="00B96E29">
        <w:rPr>
          <w:color w:val="000000" w:themeColor="text1"/>
          <w:shd w:val="clear" w:color="auto" w:fill="FFFFFF"/>
        </w:rPr>
        <w:t>N.D. Const. art. I, § 1</w:t>
      </w:r>
      <w:r w:rsidR="008C3EF1">
        <w:rPr>
          <w:color w:val="000000" w:themeColor="text1"/>
          <w:shd w:val="clear" w:color="auto" w:fill="FFFFFF"/>
        </w:rPr>
        <w:t>.”</w:t>
      </w:r>
      <w:r w:rsidR="00F5461A">
        <w:rPr>
          <w:color w:val="000000" w:themeColor="text1"/>
          <w:shd w:val="clear" w:color="auto" w:fill="FFFFFF"/>
        </w:rPr>
        <w:t>).</w:t>
      </w:r>
      <w:r w:rsidR="00122D3D" w:rsidRPr="009F3C37">
        <w:rPr>
          <w:i/>
          <w:iCs/>
          <w:color w:val="000000" w:themeColor="text1"/>
          <w:shd w:val="clear" w:color="auto" w:fill="FFFFFF"/>
        </w:rPr>
        <w:t xml:space="preserve"> </w:t>
      </w:r>
    </w:p>
    <w:p w14:paraId="79C68C92" w14:textId="31B99D47" w:rsidR="00785795" w:rsidRPr="000C43AD" w:rsidRDefault="00213AE5" w:rsidP="00663910">
      <w:pPr>
        <w:spacing w:line="480" w:lineRule="auto"/>
        <w:ind w:firstLine="720"/>
        <w:jc w:val="both"/>
        <w:rPr>
          <w:iCs/>
          <w:color w:val="000000" w:themeColor="text1"/>
        </w:rPr>
      </w:pPr>
      <w:r>
        <w:rPr>
          <w:color w:val="000000" w:themeColor="text1"/>
          <w:shd w:val="clear" w:color="auto" w:fill="FFFFFF"/>
        </w:rPr>
        <w:t>Giving full effect to</w:t>
      </w:r>
      <w:r w:rsidR="00744E9F">
        <w:rPr>
          <w:color w:val="000000" w:themeColor="text1"/>
          <w:shd w:val="clear" w:color="auto" w:fill="FFFFFF"/>
        </w:rPr>
        <w:t xml:space="preserve"> such clauses have led state courts </w:t>
      </w:r>
      <w:commentRangeStart w:id="31"/>
      <w:commentRangeStart w:id="32"/>
      <w:r w:rsidR="00B15290" w:rsidRPr="009F3C37">
        <w:rPr>
          <w:color w:val="000000" w:themeColor="text1"/>
          <w:shd w:val="clear" w:color="auto" w:fill="FFFFFF"/>
        </w:rPr>
        <w:t xml:space="preserve">to </w:t>
      </w:r>
      <w:r w:rsidR="00967870" w:rsidRPr="009F3C37">
        <w:rPr>
          <w:color w:val="000000" w:themeColor="text1"/>
          <w:shd w:val="clear" w:color="auto" w:fill="FFFFFF"/>
        </w:rPr>
        <w:t xml:space="preserve">apply more exacting scrutiny </w:t>
      </w:r>
      <w:r w:rsidR="009166A6" w:rsidRPr="009F3C37">
        <w:rPr>
          <w:color w:val="000000" w:themeColor="text1"/>
          <w:shd w:val="clear" w:color="auto" w:fill="FFFFFF"/>
        </w:rPr>
        <w:t>than they would otherwise.</w:t>
      </w:r>
      <w:r w:rsidR="00930F9E" w:rsidRPr="009F3C37">
        <w:rPr>
          <w:color w:val="000000" w:themeColor="text1"/>
          <w:shd w:val="clear" w:color="auto" w:fill="FFFFFF"/>
        </w:rPr>
        <w:t xml:space="preserve"> </w:t>
      </w:r>
      <w:commentRangeEnd w:id="31"/>
      <w:r w:rsidR="009F3C37" w:rsidRPr="009F3C37">
        <w:rPr>
          <w:rStyle w:val="CommentReference"/>
          <w:color w:val="000000" w:themeColor="text1"/>
          <w:sz w:val="24"/>
          <w:szCs w:val="24"/>
          <w:shd w:val="clear" w:color="auto" w:fill="FFFFFF"/>
        </w:rPr>
        <w:commentReference w:id="31"/>
      </w:r>
      <w:commentRangeEnd w:id="32"/>
      <w:r w:rsidR="00D3377F" w:rsidRPr="009F3C37">
        <w:rPr>
          <w:rStyle w:val="CommentReference"/>
          <w:color w:val="000000" w:themeColor="text1"/>
          <w:sz w:val="24"/>
          <w:szCs w:val="24"/>
          <w:shd w:val="clear" w:color="auto" w:fill="FFFFFF"/>
        </w:rPr>
        <w:commentReference w:id="32"/>
      </w:r>
      <w:r w:rsidR="00B96FFF" w:rsidRPr="009F3C37">
        <w:rPr>
          <w:color w:val="000000" w:themeColor="text1"/>
          <w:shd w:val="clear" w:color="auto" w:fill="FFFFFF"/>
        </w:rPr>
        <w:t xml:space="preserve">For example, </w:t>
      </w:r>
      <w:r w:rsidR="009919FF" w:rsidRPr="009F3C37">
        <w:rPr>
          <w:color w:val="000000" w:themeColor="text1"/>
          <w:shd w:val="clear" w:color="auto" w:fill="FFFFFF"/>
        </w:rPr>
        <w:t xml:space="preserve">New Mexico regards its inalienable rights clause </w:t>
      </w:r>
      <w:r w:rsidR="008B5421" w:rsidRPr="009F3C37">
        <w:rPr>
          <w:color w:val="000000" w:themeColor="text1"/>
          <w:shd w:val="clear" w:color="auto" w:fill="FFFFFF"/>
        </w:rPr>
        <w:t xml:space="preserve">as </w:t>
      </w:r>
      <w:r w:rsidR="009919FF" w:rsidRPr="009F3C37">
        <w:rPr>
          <w:color w:val="000000" w:themeColor="text1"/>
          <w:shd w:val="clear" w:color="auto" w:fill="FFFFFF"/>
        </w:rPr>
        <w:t>“</w:t>
      </w:r>
      <w:r w:rsidR="008B5421" w:rsidRPr="009F3C37">
        <w:rPr>
          <w:color w:val="000000" w:themeColor="text1"/>
          <w:shd w:val="clear" w:color="auto" w:fill="FFFFFF"/>
        </w:rPr>
        <w:t>a prism through which [it] view[s] due process and equal protection guarantees</w:t>
      </w:r>
      <w:r w:rsidR="003E10B1" w:rsidRPr="009F3C37">
        <w:rPr>
          <w:color w:val="000000" w:themeColor="text1"/>
          <w:shd w:val="clear" w:color="auto" w:fill="FFFFFF"/>
        </w:rPr>
        <w:t>.</w:t>
      </w:r>
      <w:r w:rsidR="00303631" w:rsidRPr="009F3C37">
        <w:rPr>
          <w:color w:val="000000" w:themeColor="text1"/>
          <w:shd w:val="clear" w:color="auto" w:fill="FFFFFF"/>
        </w:rPr>
        <w:t xml:space="preserve">” </w:t>
      </w:r>
      <w:r w:rsidR="003E10B1" w:rsidRPr="009F3C37">
        <w:rPr>
          <w:i/>
          <w:iCs/>
          <w:color w:val="000000" w:themeColor="text1"/>
        </w:rPr>
        <w:t>Morris v. Brandenburg</w:t>
      </w:r>
      <w:r w:rsidR="003E10B1" w:rsidRPr="009F3C37">
        <w:rPr>
          <w:color w:val="000000" w:themeColor="text1"/>
        </w:rPr>
        <w:t xml:space="preserve">, 2016-NMSC-027, ¶ 46, 376 P.3d 836, 853. </w:t>
      </w:r>
      <w:r w:rsidR="003E10B1" w:rsidRPr="009F3C37">
        <w:rPr>
          <w:color w:val="000000" w:themeColor="text1"/>
          <w:shd w:val="clear" w:color="auto" w:fill="FFFFFF"/>
        </w:rPr>
        <w:t>I</w:t>
      </w:r>
      <w:r w:rsidR="00303631" w:rsidRPr="009F3C37">
        <w:rPr>
          <w:color w:val="000000" w:themeColor="text1"/>
          <w:shd w:val="clear" w:color="auto" w:fill="FFFFFF"/>
        </w:rPr>
        <w:t xml:space="preserve">t </w:t>
      </w:r>
      <w:r w:rsidR="00336C0E" w:rsidRPr="009F3C37">
        <w:rPr>
          <w:color w:val="000000" w:themeColor="text1"/>
          <w:shd w:val="clear" w:color="auto" w:fill="FFFFFF"/>
        </w:rPr>
        <w:t>“</w:t>
      </w:r>
      <w:r w:rsidR="003E10B1" w:rsidRPr="009F3C37">
        <w:rPr>
          <w:color w:val="000000" w:themeColor="text1"/>
          <w:shd w:val="clear" w:color="auto" w:fill="FFFFFF"/>
        </w:rPr>
        <w:t>incorporate</w:t>
      </w:r>
      <w:r w:rsidR="00D13358" w:rsidRPr="009F3C37">
        <w:rPr>
          <w:color w:val="000000" w:themeColor="text1"/>
          <w:shd w:val="clear" w:color="auto" w:fill="FFFFFF"/>
        </w:rPr>
        <w:t>s</w:t>
      </w:r>
      <w:r w:rsidR="00336C0E" w:rsidRPr="009F3C37">
        <w:rPr>
          <w:color w:val="000000" w:themeColor="text1"/>
          <w:shd w:val="clear" w:color="auto" w:fill="FFFFFF"/>
        </w:rPr>
        <w:t xml:space="preserve"> [the clause] as a centra</w:t>
      </w:r>
      <w:r w:rsidR="00303631" w:rsidRPr="009F3C37">
        <w:rPr>
          <w:color w:val="000000" w:themeColor="text1"/>
          <w:shd w:val="clear" w:color="auto" w:fill="FFFFFF"/>
        </w:rPr>
        <w:t>l</w:t>
      </w:r>
      <w:r w:rsidR="00336C0E" w:rsidRPr="009F3C37">
        <w:rPr>
          <w:color w:val="000000" w:themeColor="text1"/>
          <w:shd w:val="clear" w:color="auto" w:fill="FFFFFF"/>
        </w:rPr>
        <w:t xml:space="preserve"> component of [its] due process analysis</w:t>
      </w:r>
      <w:r w:rsidR="00465DA6" w:rsidRPr="009F3C37">
        <w:rPr>
          <w:color w:val="000000" w:themeColor="text1"/>
          <w:shd w:val="clear" w:color="auto" w:fill="FFFFFF"/>
        </w:rPr>
        <w:t>” and “construe</w:t>
      </w:r>
      <w:r w:rsidR="00D13358" w:rsidRPr="009F3C37">
        <w:rPr>
          <w:color w:val="000000" w:themeColor="text1"/>
          <w:shd w:val="clear" w:color="auto" w:fill="FFFFFF"/>
        </w:rPr>
        <w:t>s</w:t>
      </w:r>
      <w:r w:rsidR="00465DA6" w:rsidRPr="009F3C37">
        <w:rPr>
          <w:color w:val="000000" w:themeColor="text1"/>
          <w:shd w:val="clear" w:color="auto" w:fill="FFFFFF"/>
        </w:rPr>
        <w:t xml:space="preserve"> </w:t>
      </w:r>
      <w:r w:rsidR="003E10B1" w:rsidRPr="009F3C37">
        <w:rPr>
          <w:color w:val="000000" w:themeColor="text1"/>
          <w:shd w:val="clear" w:color="auto" w:fill="FFFFFF"/>
        </w:rPr>
        <w:t>[</w:t>
      </w:r>
      <w:r w:rsidR="00465DA6" w:rsidRPr="009F3C37">
        <w:rPr>
          <w:color w:val="000000" w:themeColor="text1"/>
          <w:shd w:val="clear" w:color="auto" w:fill="FFFFFF"/>
        </w:rPr>
        <w:t xml:space="preserve">the clause]  . . . as an overarching principle </w:t>
      </w:r>
      <w:r w:rsidR="0038731C" w:rsidRPr="009F3C37">
        <w:rPr>
          <w:color w:val="000000" w:themeColor="text1"/>
          <w:shd w:val="clear" w:color="auto" w:fill="FFFFFF"/>
        </w:rPr>
        <w:t xml:space="preserve">. . . </w:t>
      </w:r>
      <w:r w:rsidR="00465DA6" w:rsidRPr="009F3C37">
        <w:rPr>
          <w:color w:val="000000" w:themeColor="text1"/>
          <w:shd w:val="clear" w:color="auto" w:fill="FFFFFF"/>
        </w:rPr>
        <w:t xml:space="preserve"> inform</w:t>
      </w:r>
      <w:r w:rsidR="0038731C" w:rsidRPr="009F3C37">
        <w:rPr>
          <w:color w:val="000000" w:themeColor="text1"/>
          <w:shd w:val="clear" w:color="auto" w:fill="FFFFFF"/>
        </w:rPr>
        <w:t>ing</w:t>
      </w:r>
      <w:r w:rsidR="00465DA6" w:rsidRPr="009F3C37">
        <w:rPr>
          <w:color w:val="000000" w:themeColor="text1"/>
          <w:shd w:val="clear" w:color="auto" w:fill="FFFFFF"/>
        </w:rPr>
        <w:t xml:space="preserve"> the equal protection </w:t>
      </w:r>
      <w:r w:rsidR="00465DA6" w:rsidRPr="009F3C37">
        <w:rPr>
          <w:color w:val="000000" w:themeColor="text1"/>
          <w:shd w:val="clear" w:color="auto" w:fill="FFFFFF"/>
        </w:rPr>
        <w:lastRenderedPageBreak/>
        <w:t>guarantee of [</w:t>
      </w:r>
      <w:r w:rsidR="00303631" w:rsidRPr="009F3C37">
        <w:rPr>
          <w:color w:val="000000" w:themeColor="text1"/>
          <w:shd w:val="clear" w:color="auto" w:fill="FFFFFF"/>
        </w:rPr>
        <w:t>its</w:t>
      </w:r>
      <w:r w:rsidR="00465DA6" w:rsidRPr="009F3C37">
        <w:rPr>
          <w:color w:val="000000" w:themeColor="text1"/>
          <w:shd w:val="clear" w:color="auto" w:fill="FFFFFF"/>
        </w:rPr>
        <w:t xml:space="preserve">] Constitution.” </w:t>
      </w:r>
      <w:r w:rsidR="0038731C" w:rsidRPr="009F3C37">
        <w:rPr>
          <w:i/>
          <w:iCs/>
          <w:color w:val="000000" w:themeColor="text1"/>
          <w:shd w:val="clear" w:color="auto" w:fill="FFFFFF"/>
        </w:rPr>
        <w:t xml:space="preserve">Id. </w:t>
      </w:r>
      <w:r w:rsidR="0038731C" w:rsidRPr="009F3C37">
        <w:rPr>
          <w:color w:val="000000" w:themeColor="text1"/>
          <w:shd w:val="clear" w:color="auto" w:fill="FFFFFF"/>
        </w:rPr>
        <w:t xml:space="preserve">at ¶¶ </w:t>
      </w:r>
      <w:r w:rsidR="0038731C" w:rsidRPr="009F3C37">
        <w:rPr>
          <w:color w:val="000000" w:themeColor="text1"/>
        </w:rPr>
        <w:t>47, 49</w:t>
      </w:r>
      <w:r w:rsidR="000642E6" w:rsidRPr="009F3C37">
        <w:rPr>
          <w:color w:val="000000" w:themeColor="text1"/>
        </w:rPr>
        <w:t>.</w:t>
      </w:r>
      <w:r w:rsidR="008B5421" w:rsidRPr="009F3C37">
        <w:rPr>
          <w:color w:val="000000" w:themeColor="text1"/>
        </w:rPr>
        <w:t xml:space="preserve"> </w:t>
      </w:r>
      <w:r w:rsidR="00744E9F">
        <w:rPr>
          <w:color w:val="000000" w:themeColor="text1"/>
        </w:rPr>
        <w:t xml:space="preserve">Similarly, </w:t>
      </w:r>
      <w:r w:rsidR="00744E9F">
        <w:rPr>
          <w:iCs/>
          <w:color w:val="000000" w:themeColor="text1"/>
        </w:rPr>
        <w:t xml:space="preserve">the Maine Supreme Court recently found that </w:t>
      </w:r>
      <w:r w:rsidR="00250C20">
        <w:rPr>
          <w:iCs/>
          <w:color w:val="000000" w:themeColor="text1"/>
        </w:rPr>
        <w:t>effectuating</w:t>
      </w:r>
      <w:r w:rsidR="00744E9F">
        <w:rPr>
          <w:iCs/>
          <w:color w:val="000000" w:themeColor="text1"/>
        </w:rPr>
        <w:t xml:space="preserve"> </w:t>
      </w:r>
      <w:r w:rsidR="003348EB">
        <w:rPr>
          <w:iCs/>
          <w:color w:val="000000" w:themeColor="text1"/>
        </w:rPr>
        <w:t>multiple provisions in Maine’s Constitution, including</w:t>
      </w:r>
      <w:r w:rsidR="006C3CE1" w:rsidRPr="009F3C37">
        <w:rPr>
          <w:iCs/>
          <w:color w:val="000000" w:themeColor="text1"/>
        </w:rPr>
        <w:t xml:space="preserve"> its inalienable rights clause, </w:t>
      </w:r>
      <w:r w:rsidR="00F5375F" w:rsidRPr="009F3C37">
        <w:rPr>
          <w:iCs/>
          <w:color w:val="000000" w:themeColor="text1"/>
        </w:rPr>
        <w:t>require</w:t>
      </w:r>
      <w:r w:rsidR="0079091A" w:rsidRPr="009F3C37">
        <w:rPr>
          <w:iCs/>
          <w:color w:val="000000" w:themeColor="text1"/>
        </w:rPr>
        <w:t>s</w:t>
      </w:r>
      <w:r w:rsidR="00F5375F" w:rsidRPr="009F3C37">
        <w:rPr>
          <w:iCs/>
          <w:color w:val="000000" w:themeColor="text1"/>
        </w:rPr>
        <w:t xml:space="preserve"> </w:t>
      </w:r>
      <w:r w:rsidR="0079091A" w:rsidRPr="009F3C37">
        <w:rPr>
          <w:iCs/>
          <w:color w:val="000000" w:themeColor="text1"/>
        </w:rPr>
        <w:t>Maine courts</w:t>
      </w:r>
      <w:r w:rsidR="006C3CE1" w:rsidRPr="009F3C37">
        <w:rPr>
          <w:iCs/>
          <w:color w:val="000000" w:themeColor="text1"/>
        </w:rPr>
        <w:t xml:space="preserve"> to apply a more rigorous </w:t>
      </w:r>
      <w:r w:rsidR="00663910" w:rsidRPr="009F3C37">
        <w:rPr>
          <w:iCs/>
          <w:color w:val="000000" w:themeColor="text1"/>
        </w:rPr>
        <w:t>standard to review</w:t>
      </w:r>
      <w:r w:rsidR="00F5375F" w:rsidRPr="009F3C37">
        <w:rPr>
          <w:iCs/>
          <w:color w:val="000000" w:themeColor="text1"/>
        </w:rPr>
        <w:t xml:space="preserve"> retroactive legislation </w:t>
      </w:r>
      <w:r w:rsidR="006C3CE1" w:rsidRPr="009F3C37">
        <w:rPr>
          <w:iCs/>
          <w:color w:val="000000" w:themeColor="text1"/>
        </w:rPr>
        <w:t>than federal courts</w:t>
      </w:r>
      <w:r w:rsidR="00306B2A" w:rsidRPr="009F3C37">
        <w:rPr>
          <w:iCs/>
          <w:color w:val="000000" w:themeColor="text1"/>
        </w:rPr>
        <w:t>.</w:t>
      </w:r>
      <w:r w:rsidR="003348EB">
        <w:rPr>
          <w:iCs/>
          <w:color w:val="000000" w:themeColor="text1"/>
        </w:rPr>
        <w:t xml:space="preserve"> </w:t>
      </w:r>
      <w:r w:rsidR="003348EB" w:rsidRPr="009F3C37">
        <w:rPr>
          <w:i/>
          <w:color w:val="000000" w:themeColor="text1"/>
        </w:rPr>
        <w:t xml:space="preserve">Dupuis v. Roman Cath. Bishop of Portland, </w:t>
      </w:r>
      <w:r w:rsidR="003348EB" w:rsidRPr="009F3C37">
        <w:rPr>
          <w:iCs/>
          <w:color w:val="000000" w:themeColor="text1"/>
        </w:rPr>
        <w:t>2025 ME 6, ¶ 96, 331 A.3d 294, 328</w:t>
      </w:r>
      <w:r w:rsidR="00CA6DB5">
        <w:rPr>
          <w:iCs/>
          <w:color w:val="000000" w:themeColor="text1"/>
        </w:rPr>
        <w:t>.</w:t>
      </w:r>
      <w:r w:rsidR="00F47739">
        <w:rPr>
          <w:iCs/>
          <w:color w:val="000000" w:themeColor="text1"/>
        </w:rPr>
        <w:t xml:space="preserve"> </w:t>
      </w:r>
    </w:p>
    <w:p w14:paraId="399836F1" w14:textId="38D38C7A" w:rsidR="00F5536A" w:rsidRPr="00D3377F" w:rsidRDefault="00C7508E" w:rsidP="00D3377F">
      <w:pPr>
        <w:spacing w:line="480" w:lineRule="auto"/>
        <w:ind w:firstLine="720"/>
        <w:jc w:val="both"/>
        <w:rPr>
          <w:iCs/>
          <w:color w:val="000000" w:themeColor="text1"/>
        </w:rPr>
      </w:pPr>
      <w:r w:rsidRPr="009F3C37">
        <w:rPr>
          <w:color w:val="000000" w:themeColor="text1"/>
        </w:rPr>
        <w:t xml:space="preserve">By </w:t>
      </w:r>
      <w:r w:rsidR="006F6971" w:rsidRPr="009F3C37">
        <w:rPr>
          <w:color w:val="000000" w:themeColor="text1"/>
        </w:rPr>
        <w:t xml:space="preserve">anchoring </w:t>
      </w:r>
      <w:r w:rsidR="00B37C72" w:rsidRPr="009F3C37">
        <w:rPr>
          <w:color w:val="000000" w:themeColor="text1"/>
        </w:rPr>
        <w:t xml:space="preserve">its state constitutional </w:t>
      </w:r>
      <w:r w:rsidR="006F6971" w:rsidRPr="009F3C37">
        <w:rPr>
          <w:color w:val="000000" w:themeColor="text1"/>
        </w:rPr>
        <w:t xml:space="preserve">analysis to federal equal protection precedent, the court </w:t>
      </w:r>
      <w:r w:rsidR="008B0589" w:rsidRPr="009F3C37">
        <w:rPr>
          <w:color w:val="000000" w:themeColor="text1"/>
        </w:rPr>
        <w:t>neglected its obligation to apply</w:t>
      </w:r>
      <w:r w:rsidR="00D95233" w:rsidRPr="009F3C37">
        <w:rPr>
          <w:color w:val="000000" w:themeColor="text1"/>
        </w:rPr>
        <w:t xml:space="preserve"> princ</w:t>
      </w:r>
      <w:r w:rsidR="00801DF7" w:rsidRPr="009F3C37">
        <w:rPr>
          <w:color w:val="000000" w:themeColor="text1"/>
        </w:rPr>
        <w:t>ipl</w:t>
      </w:r>
      <w:r w:rsidR="00D95233" w:rsidRPr="009F3C37">
        <w:rPr>
          <w:color w:val="000000" w:themeColor="text1"/>
        </w:rPr>
        <w:t>es of</w:t>
      </w:r>
      <w:r w:rsidR="008B0589" w:rsidRPr="009F3C37">
        <w:rPr>
          <w:color w:val="000000" w:themeColor="text1"/>
        </w:rPr>
        <w:t xml:space="preserve"> </w:t>
      </w:r>
      <w:r w:rsidR="001521C0" w:rsidRPr="009F3C37">
        <w:rPr>
          <w:color w:val="000000" w:themeColor="text1"/>
        </w:rPr>
        <w:t>holistic interpretation</w:t>
      </w:r>
      <w:r w:rsidR="00192F99">
        <w:rPr>
          <w:color w:val="000000" w:themeColor="text1"/>
        </w:rPr>
        <w:t>. I</w:t>
      </w:r>
      <w:r w:rsidR="00B253B4">
        <w:rPr>
          <w:color w:val="000000" w:themeColor="text1"/>
        </w:rPr>
        <w:t xml:space="preserve">n doing so, </w:t>
      </w:r>
      <w:r w:rsidR="00192F99">
        <w:rPr>
          <w:color w:val="000000" w:themeColor="text1"/>
        </w:rPr>
        <w:t xml:space="preserve">it </w:t>
      </w:r>
      <w:r w:rsidR="00B253B4">
        <w:rPr>
          <w:iCs/>
          <w:color w:val="000000" w:themeColor="text1"/>
        </w:rPr>
        <w:t xml:space="preserve">risked </w:t>
      </w:r>
      <w:r w:rsidR="006F431C">
        <w:rPr>
          <w:iCs/>
          <w:color w:val="000000" w:themeColor="text1"/>
        </w:rPr>
        <w:t xml:space="preserve">underenforcing </w:t>
      </w:r>
      <w:r w:rsidR="00162AC2">
        <w:rPr>
          <w:iCs/>
          <w:color w:val="000000" w:themeColor="text1"/>
        </w:rPr>
        <w:t>North Dakota’s inalienable rights</w:t>
      </w:r>
      <w:r w:rsidR="006F431C">
        <w:rPr>
          <w:iCs/>
          <w:color w:val="000000" w:themeColor="text1"/>
        </w:rPr>
        <w:t xml:space="preserve"> </w:t>
      </w:r>
      <w:r w:rsidR="00D3377F">
        <w:rPr>
          <w:iCs/>
          <w:color w:val="000000" w:themeColor="text1"/>
        </w:rPr>
        <w:t>clause,</w:t>
      </w:r>
      <w:r w:rsidR="006F431C">
        <w:rPr>
          <w:iCs/>
          <w:color w:val="000000" w:themeColor="text1"/>
        </w:rPr>
        <w:t xml:space="preserve"> </w:t>
      </w:r>
      <w:r w:rsidR="00D3377F">
        <w:rPr>
          <w:iCs/>
          <w:color w:val="000000" w:themeColor="text1"/>
        </w:rPr>
        <w:t>contravening the historical importance of such clauses</w:t>
      </w:r>
      <w:r w:rsidR="00B253B4">
        <w:rPr>
          <w:iCs/>
          <w:color w:val="000000" w:themeColor="text1"/>
        </w:rPr>
        <w:t>.</w:t>
      </w:r>
      <w:r w:rsidR="00B253B4">
        <w:rPr>
          <w:i/>
          <w:color w:val="000000" w:themeColor="text1"/>
        </w:rPr>
        <w:t xml:space="preserve"> </w:t>
      </w:r>
      <w:r w:rsidR="00B253B4">
        <w:rPr>
          <w:i/>
          <w:iCs/>
          <w:color w:val="000000" w:themeColor="text1"/>
          <w:shd w:val="clear" w:color="auto" w:fill="FFFFFF"/>
        </w:rPr>
        <w:t xml:space="preserve">See </w:t>
      </w:r>
      <w:r w:rsidR="00B253B4">
        <w:rPr>
          <w:color w:val="000000" w:themeColor="text1"/>
          <w:shd w:val="clear" w:color="auto" w:fill="FFFFFF"/>
        </w:rPr>
        <w:t>Anthony Sanders, “S</w:t>
      </w:r>
      <w:r w:rsidR="00B253B4" w:rsidRPr="00CF031D">
        <w:rPr>
          <w:color w:val="000000" w:themeColor="text1"/>
          <w:shd w:val="clear" w:color="auto" w:fill="FFFFFF"/>
        </w:rPr>
        <w:t>ocial Contracts: The State Convention Drafting History of the Lockean Natural Rights Guarantees</w:t>
      </w:r>
      <w:r w:rsidR="00B253B4">
        <w:rPr>
          <w:color w:val="000000" w:themeColor="text1"/>
          <w:shd w:val="clear" w:color="auto" w:fill="FFFFFF"/>
        </w:rPr>
        <w:t xml:space="preserve">,” 93 </w:t>
      </w:r>
      <w:r w:rsidR="00B253B4">
        <w:rPr>
          <w:i/>
          <w:iCs/>
          <w:color w:val="000000" w:themeColor="text1"/>
          <w:shd w:val="clear" w:color="auto" w:fill="FFFFFF"/>
        </w:rPr>
        <w:t xml:space="preserve">UMKC L. Rev. </w:t>
      </w:r>
      <w:r w:rsidR="00B253B4">
        <w:rPr>
          <w:color w:val="000000" w:themeColor="text1"/>
          <w:shd w:val="clear" w:color="auto" w:fill="FFFFFF"/>
        </w:rPr>
        <w:t>1 (2025) (noting that some state convention delegates considered these clauses “</w:t>
      </w:r>
      <w:r w:rsidR="00B253B4">
        <w:t>so expansive that they did not think other, basic rights were worth mentioning.”).</w:t>
      </w:r>
    </w:p>
    <w:p w14:paraId="1F809937" w14:textId="0E177C22" w:rsidR="00F5536A" w:rsidRPr="009F3C37" w:rsidRDefault="006C0859" w:rsidP="00F5536A">
      <w:pPr>
        <w:pStyle w:val="Heading2"/>
        <w:numPr>
          <w:ilvl w:val="1"/>
          <w:numId w:val="20"/>
        </w:numPr>
        <w:spacing w:before="0" w:after="0" w:line="480" w:lineRule="auto"/>
        <w:jc w:val="both"/>
        <w:rPr>
          <w:rFonts w:ascii="Times New Roman" w:hAnsi="Times New Roman" w:cs="Times New Roman"/>
          <w:b/>
          <w:bCs/>
          <w:color w:val="000000" w:themeColor="text1"/>
          <w:sz w:val="24"/>
          <w:szCs w:val="24"/>
          <w:u w:val="single"/>
          <w:shd w:val="clear" w:color="auto" w:fill="FFFFFF"/>
        </w:rPr>
      </w:pPr>
      <w:bookmarkStart w:id="33" w:name="_Toc225513548"/>
      <w:r w:rsidRPr="009F3C37">
        <w:rPr>
          <w:rFonts w:ascii="Times New Roman" w:hAnsi="Times New Roman" w:cs="Times New Roman"/>
          <w:b/>
          <w:bCs/>
          <w:color w:val="000000" w:themeColor="text1"/>
          <w:sz w:val="24"/>
          <w:szCs w:val="24"/>
          <w:u w:val="single"/>
          <w:shd w:val="clear" w:color="auto" w:fill="FFFFFF"/>
        </w:rPr>
        <w:t>North Dakota’s Constitutional History Counsel</w:t>
      </w:r>
      <w:r w:rsidR="009B2DA4" w:rsidRPr="009F3C37">
        <w:rPr>
          <w:rFonts w:ascii="Times New Roman" w:hAnsi="Times New Roman" w:cs="Times New Roman"/>
          <w:b/>
          <w:bCs/>
          <w:color w:val="000000" w:themeColor="text1"/>
          <w:sz w:val="24"/>
          <w:szCs w:val="24"/>
          <w:u w:val="single"/>
          <w:shd w:val="clear" w:color="auto" w:fill="FFFFFF"/>
        </w:rPr>
        <w:t>s</w:t>
      </w:r>
      <w:r w:rsidRPr="009F3C37">
        <w:rPr>
          <w:rFonts w:ascii="Times New Roman" w:hAnsi="Times New Roman" w:cs="Times New Roman"/>
          <w:b/>
          <w:bCs/>
          <w:color w:val="000000" w:themeColor="text1"/>
          <w:sz w:val="24"/>
          <w:szCs w:val="24"/>
          <w:u w:val="single"/>
          <w:shd w:val="clear" w:color="auto" w:fill="FFFFFF"/>
        </w:rPr>
        <w:t xml:space="preserve"> Against </w:t>
      </w:r>
      <w:r w:rsidR="004B7F26" w:rsidRPr="009F3C37">
        <w:rPr>
          <w:rFonts w:ascii="Times New Roman" w:hAnsi="Times New Roman" w:cs="Times New Roman"/>
          <w:b/>
          <w:bCs/>
          <w:color w:val="000000" w:themeColor="text1"/>
          <w:sz w:val="24"/>
          <w:szCs w:val="24"/>
          <w:u w:val="single"/>
          <w:shd w:val="clear" w:color="auto" w:fill="FFFFFF"/>
        </w:rPr>
        <w:t xml:space="preserve">Presumptive </w:t>
      </w:r>
      <w:r w:rsidR="00B33171" w:rsidRPr="009F3C37">
        <w:rPr>
          <w:rFonts w:ascii="Times New Roman" w:hAnsi="Times New Roman" w:cs="Times New Roman"/>
          <w:b/>
          <w:bCs/>
          <w:color w:val="000000" w:themeColor="text1"/>
          <w:sz w:val="24"/>
          <w:szCs w:val="24"/>
          <w:u w:val="single"/>
          <w:shd w:val="clear" w:color="auto" w:fill="FFFFFF"/>
        </w:rPr>
        <w:t>Alignment</w:t>
      </w:r>
      <w:r w:rsidR="00D34EBE" w:rsidRPr="009F3C37">
        <w:rPr>
          <w:rFonts w:ascii="Times New Roman" w:hAnsi="Times New Roman" w:cs="Times New Roman"/>
          <w:b/>
          <w:bCs/>
          <w:color w:val="000000" w:themeColor="text1"/>
          <w:sz w:val="24"/>
          <w:szCs w:val="24"/>
          <w:u w:val="single"/>
          <w:shd w:val="clear" w:color="auto" w:fill="FFFFFF"/>
        </w:rPr>
        <w:t xml:space="preserve"> with </w:t>
      </w:r>
      <w:r w:rsidR="00801DF7" w:rsidRPr="009F3C37">
        <w:rPr>
          <w:rFonts w:ascii="Times New Roman" w:hAnsi="Times New Roman" w:cs="Times New Roman"/>
          <w:b/>
          <w:bCs/>
          <w:color w:val="000000" w:themeColor="text1"/>
          <w:sz w:val="24"/>
          <w:szCs w:val="24"/>
          <w:u w:val="single"/>
          <w:shd w:val="clear" w:color="auto" w:fill="FFFFFF"/>
        </w:rPr>
        <w:t xml:space="preserve">the </w:t>
      </w:r>
      <w:r w:rsidR="00D34EBE" w:rsidRPr="009F3C37">
        <w:rPr>
          <w:rFonts w:ascii="Times New Roman" w:hAnsi="Times New Roman" w:cs="Times New Roman"/>
          <w:b/>
          <w:bCs/>
          <w:color w:val="000000" w:themeColor="text1"/>
          <w:sz w:val="24"/>
          <w:szCs w:val="24"/>
          <w:u w:val="single"/>
          <w:shd w:val="clear" w:color="auto" w:fill="FFFFFF"/>
        </w:rPr>
        <w:t>Federal Constitution</w:t>
      </w:r>
      <w:bookmarkEnd w:id="33"/>
      <w:r w:rsidR="008C713A" w:rsidRPr="009F3C37">
        <w:rPr>
          <w:rFonts w:ascii="Times New Roman" w:hAnsi="Times New Roman" w:cs="Times New Roman"/>
          <w:b/>
          <w:bCs/>
          <w:color w:val="000000" w:themeColor="text1"/>
          <w:sz w:val="24"/>
          <w:szCs w:val="24"/>
          <w:u w:val="single"/>
          <w:shd w:val="clear" w:color="auto" w:fill="FFFFFF"/>
        </w:rPr>
        <w:t xml:space="preserve"> </w:t>
      </w:r>
    </w:p>
    <w:p w14:paraId="223AE002" w14:textId="54A11F8A" w:rsidR="00F5536A" w:rsidRPr="009F3C37" w:rsidRDefault="00896520" w:rsidP="00325239">
      <w:pPr>
        <w:spacing w:line="480" w:lineRule="auto"/>
        <w:ind w:firstLine="360"/>
        <w:jc w:val="both"/>
        <w:rPr>
          <w:color w:val="000000" w:themeColor="text1"/>
          <w:shd w:val="clear" w:color="auto" w:fill="FFFFFF"/>
        </w:rPr>
      </w:pPr>
      <w:r w:rsidRPr="009F3C37">
        <w:t xml:space="preserve">Turning to the U.S. Supreme Court to guide </w:t>
      </w:r>
      <w:r w:rsidR="008B5B9B" w:rsidRPr="009F3C37">
        <w:t xml:space="preserve">analysis of the North Dakota </w:t>
      </w:r>
      <w:r w:rsidR="008B5B9B" w:rsidRPr="009F3C37">
        <w:rPr>
          <w:color w:val="000000" w:themeColor="text1"/>
        </w:rPr>
        <w:t>C</w:t>
      </w:r>
      <w:r w:rsidRPr="009F3C37">
        <w:rPr>
          <w:color w:val="000000" w:themeColor="text1"/>
        </w:rPr>
        <w:t xml:space="preserve">onstitution </w:t>
      </w:r>
      <w:r w:rsidR="00ED0E1C" w:rsidRPr="009F3C37">
        <w:rPr>
          <w:color w:val="000000" w:themeColor="text1"/>
        </w:rPr>
        <w:t>sits uneasily with</w:t>
      </w:r>
      <w:r w:rsidR="003576AE" w:rsidRPr="009F3C37">
        <w:rPr>
          <w:color w:val="000000" w:themeColor="text1"/>
        </w:rPr>
        <w:t xml:space="preserve"> </w:t>
      </w:r>
      <w:r w:rsidR="00433CA2" w:rsidRPr="009F3C37">
        <w:rPr>
          <w:color w:val="000000" w:themeColor="text1"/>
        </w:rPr>
        <w:t xml:space="preserve">North Dakota’s </w:t>
      </w:r>
      <w:r w:rsidR="006E1B46" w:rsidRPr="009F3C37">
        <w:rPr>
          <w:color w:val="000000" w:themeColor="text1"/>
        </w:rPr>
        <w:t xml:space="preserve">history. </w:t>
      </w:r>
      <w:r w:rsidR="006E1B46" w:rsidRPr="009F3C37">
        <w:rPr>
          <w:color w:val="000000" w:themeColor="text1"/>
          <w:shd w:val="clear" w:color="auto" w:fill="FFFFFF"/>
        </w:rPr>
        <w:t xml:space="preserve">North Dakota’s Constitution was ratified </w:t>
      </w:r>
      <w:r w:rsidR="00D3377F">
        <w:rPr>
          <w:color w:val="000000" w:themeColor="text1"/>
          <w:shd w:val="clear" w:color="auto" w:fill="FFFFFF"/>
        </w:rPr>
        <w:t xml:space="preserve">decades </w:t>
      </w:r>
      <w:r w:rsidR="006E1B46" w:rsidRPr="009F3C37">
        <w:rPr>
          <w:color w:val="000000" w:themeColor="text1"/>
          <w:shd w:val="clear" w:color="auto" w:fill="FFFFFF"/>
        </w:rPr>
        <w:t xml:space="preserve"> before the U.S. Supreme Court began the process of incorporation of the Bill of Rights against the states. </w:t>
      </w:r>
      <w:r w:rsidR="001C2EC6" w:rsidRPr="009F3C37">
        <w:rPr>
          <w:color w:val="000000" w:themeColor="text1"/>
          <w:shd w:val="clear" w:color="auto" w:fill="FFFFFF"/>
        </w:rPr>
        <w:t xml:space="preserve">Pre-incorporation, </w:t>
      </w:r>
      <w:r w:rsidR="00325239" w:rsidRPr="009F3C37">
        <w:rPr>
          <w:color w:val="000000" w:themeColor="text1"/>
          <w:shd w:val="clear" w:color="auto" w:fill="FFFFFF"/>
        </w:rPr>
        <w:t xml:space="preserve">state constitutions provided “the primary protections for individual rights.” </w:t>
      </w:r>
      <w:r w:rsidR="00C0779E" w:rsidRPr="009F3C37">
        <w:rPr>
          <w:color w:val="000000" w:themeColor="text1"/>
          <w:shd w:val="clear" w:color="auto" w:fill="FFFFFF"/>
        </w:rPr>
        <w:t xml:space="preserve">Hon. </w:t>
      </w:r>
      <w:r w:rsidR="004E4592" w:rsidRPr="009F3C37">
        <w:rPr>
          <w:color w:val="000000" w:themeColor="text1"/>
          <w:shd w:val="clear" w:color="auto" w:fill="FFFFFF"/>
        </w:rPr>
        <w:t>Clint</w:t>
      </w:r>
      <w:r w:rsidR="00325239" w:rsidRPr="009F3C37">
        <w:rPr>
          <w:color w:val="000000" w:themeColor="text1"/>
          <w:shd w:val="clear" w:color="auto" w:fill="FFFFFF"/>
        </w:rPr>
        <w:t xml:space="preserve"> Bolick, </w:t>
      </w:r>
      <w:r w:rsidR="008A0120" w:rsidRPr="009F3C37">
        <w:rPr>
          <w:color w:val="000000" w:themeColor="text1"/>
          <w:shd w:val="clear" w:color="auto" w:fill="FFFFFF"/>
        </w:rPr>
        <w:t>“</w:t>
      </w:r>
      <w:r w:rsidR="00325239" w:rsidRPr="009F3C37">
        <w:rPr>
          <w:color w:val="000000" w:themeColor="text1"/>
          <w:shd w:val="clear" w:color="auto" w:fill="FFFFFF"/>
        </w:rPr>
        <w:t>Principles of State Constitutional Interpretation,</w:t>
      </w:r>
      <w:r w:rsidR="008A0120" w:rsidRPr="009F3C37">
        <w:rPr>
          <w:color w:val="000000" w:themeColor="text1"/>
          <w:shd w:val="clear" w:color="auto" w:fill="FFFFFF"/>
        </w:rPr>
        <w:t>”</w:t>
      </w:r>
      <w:r w:rsidR="00325239" w:rsidRPr="009F3C37">
        <w:rPr>
          <w:color w:val="000000" w:themeColor="text1"/>
          <w:shd w:val="clear" w:color="auto" w:fill="FFFFFF"/>
        </w:rPr>
        <w:t xml:space="preserve"> 53 Ariz St L J 771, 773 (2021). Against this backdrop, </w:t>
      </w:r>
      <w:r w:rsidR="006E1B46" w:rsidRPr="009F3C37">
        <w:rPr>
          <w:color w:val="000000" w:themeColor="text1"/>
          <w:shd w:val="clear" w:color="auto" w:fill="FFFFFF"/>
        </w:rPr>
        <w:t>North Dakotans</w:t>
      </w:r>
      <w:r w:rsidR="00C7075F" w:rsidRPr="009F3C37">
        <w:rPr>
          <w:color w:val="000000" w:themeColor="text1"/>
          <w:shd w:val="clear" w:color="auto" w:fill="FFFFFF"/>
        </w:rPr>
        <w:t xml:space="preserve"> </w:t>
      </w:r>
      <w:r w:rsidR="00325239" w:rsidRPr="009F3C37">
        <w:rPr>
          <w:color w:val="000000" w:themeColor="text1"/>
          <w:shd w:val="clear" w:color="auto" w:fill="FFFFFF"/>
        </w:rPr>
        <w:t xml:space="preserve">would have </w:t>
      </w:r>
      <w:r w:rsidR="00C7075F" w:rsidRPr="009F3C37">
        <w:rPr>
          <w:color w:val="000000" w:themeColor="text1"/>
          <w:shd w:val="clear" w:color="auto" w:fill="FFFFFF"/>
        </w:rPr>
        <w:t>expect</w:t>
      </w:r>
      <w:r w:rsidR="00325239" w:rsidRPr="009F3C37">
        <w:rPr>
          <w:color w:val="000000" w:themeColor="text1"/>
          <w:shd w:val="clear" w:color="auto" w:fill="FFFFFF"/>
        </w:rPr>
        <w:t>ed</w:t>
      </w:r>
      <w:r w:rsidR="00C7075F" w:rsidRPr="009F3C37">
        <w:rPr>
          <w:color w:val="000000" w:themeColor="text1"/>
          <w:shd w:val="clear" w:color="auto" w:fill="FFFFFF"/>
        </w:rPr>
        <w:t xml:space="preserve"> that their state constitutions would have independent force in constraining state power and protecting the rights of North Dakotans.</w:t>
      </w:r>
      <w:r w:rsidR="00A5658C" w:rsidRPr="009F3C37">
        <w:rPr>
          <w:color w:val="000000" w:themeColor="text1"/>
          <w:shd w:val="clear" w:color="auto" w:fill="FFFFFF"/>
        </w:rPr>
        <w:t xml:space="preserve"> </w:t>
      </w:r>
      <w:r w:rsidR="00F5536A" w:rsidRPr="009F3C37">
        <w:rPr>
          <w:i/>
          <w:iCs/>
          <w:color w:val="000000" w:themeColor="text1"/>
          <w:shd w:val="clear" w:color="auto" w:fill="FFFFFF"/>
        </w:rPr>
        <w:t xml:space="preserve">See generally </w:t>
      </w:r>
      <w:r w:rsidR="00867210" w:rsidRPr="009F3C37">
        <w:rPr>
          <w:color w:val="000000" w:themeColor="text1"/>
          <w:shd w:val="clear" w:color="auto" w:fill="FFFFFF"/>
        </w:rPr>
        <w:t xml:space="preserve"> </w:t>
      </w:r>
      <w:r w:rsidR="00DB26DC" w:rsidRPr="009F3C37">
        <w:rPr>
          <w:color w:val="000000" w:themeColor="text1"/>
          <w:shd w:val="clear" w:color="auto" w:fill="FFFFFF"/>
        </w:rPr>
        <w:t xml:space="preserve">Robert F. Utter &amp; Sanford E. Pitler, </w:t>
      </w:r>
      <w:r w:rsidR="00867210" w:rsidRPr="009F3C37">
        <w:rPr>
          <w:color w:val="000000" w:themeColor="text1"/>
          <w:shd w:val="clear" w:color="auto" w:fill="FFFFFF"/>
        </w:rPr>
        <w:t>“</w:t>
      </w:r>
      <w:r w:rsidR="00DB26DC" w:rsidRPr="009F3C37">
        <w:rPr>
          <w:color w:val="000000" w:themeColor="text1"/>
          <w:shd w:val="clear" w:color="auto" w:fill="FFFFFF"/>
        </w:rPr>
        <w:t xml:space="preserve">Speech, Presenting a State Constitutional Argument: </w:t>
      </w:r>
      <w:r w:rsidR="00DB26DC" w:rsidRPr="009F3C37">
        <w:rPr>
          <w:color w:val="000000" w:themeColor="text1"/>
          <w:shd w:val="clear" w:color="auto" w:fill="FFFFFF"/>
        </w:rPr>
        <w:lastRenderedPageBreak/>
        <w:t>Comment on Theory and Technique,</w:t>
      </w:r>
      <w:r w:rsidR="00825108" w:rsidRPr="009F3C37">
        <w:rPr>
          <w:color w:val="000000" w:themeColor="text1"/>
          <w:shd w:val="clear" w:color="auto" w:fill="FFFFFF"/>
        </w:rPr>
        <w:t>”</w:t>
      </w:r>
      <w:r w:rsidR="00DB26DC" w:rsidRPr="009F3C37">
        <w:rPr>
          <w:color w:val="000000" w:themeColor="text1"/>
          <w:shd w:val="clear" w:color="auto" w:fill="FFFFFF"/>
        </w:rPr>
        <w:t xml:space="preserve"> 20 Ind. L. Rev. 635, 646 (1987)</w:t>
      </w:r>
      <w:r w:rsidR="00F5536A" w:rsidRPr="009F3C37">
        <w:rPr>
          <w:color w:val="000000" w:themeColor="text1"/>
        </w:rPr>
        <w:t xml:space="preserve"> (explaining why, </w:t>
      </w:r>
      <w:r w:rsidR="00F5536A" w:rsidRPr="009F3C37">
        <w:rPr>
          <w:color w:val="000000" w:themeColor="text1"/>
          <w:shd w:val="clear" w:color="auto" w:fill="FFFFFF"/>
        </w:rPr>
        <w:t xml:space="preserve">for this reason, </w:t>
      </w:r>
      <w:r w:rsidR="009C0A52" w:rsidRPr="009F3C37">
        <w:rPr>
          <w:color w:val="000000" w:themeColor="text1"/>
        </w:rPr>
        <w:t xml:space="preserve">interpreting state constitutions in lockstep with the federal constitution </w:t>
      </w:r>
      <w:r w:rsidR="00F5536A" w:rsidRPr="009F3C37">
        <w:rPr>
          <w:color w:val="000000" w:themeColor="text1"/>
        </w:rPr>
        <w:t>“contradicts the historical relationship between the state and federal constitutions”)</w:t>
      </w:r>
      <w:r w:rsidR="00C70D2E" w:rsidRPr="009F3C37">
        <w:rPr>
          <w:color w:val="000000" w:themeColor="text1"/>
        </w:rPr>
        <w:t>.</w:t>
      </w:r>
    </w:p>
    <w:p w14:paraId="72B5673D" w14:textId="6B9CE6B2" w:rsidR="00166525" w:rsidRDefault="00C263EB" w:rsidP="00A21CCE">
      <w:pPr>
        <w:spacing w:line="480" w:lineRule="auto"/>
        <w:ind w:firstLine="360"/>
        <w:jc w:val="both"/>
      </w:pPr>
      <w:r w:rsidRPr="009F3C37">
        <w:t xml:space="preserve">In light of the </w:t>
      </w:r>
      <w:r w:rsidR="00801DF7" w:rsidRPr="009F3C37">
        <w:t xml:space="preserve">substantially different </w:t>
      </w:r>
      <w:r w:rsidRPr="009F3C37">
        <w:t>contexts in which North Dakota’s constitution and the federal constitution were ratified, t</w:t>
      </w:r>
      <w:commentRangeStart w:id="34"/>
      <w:commentRangeStart w:id="35"/>
      <w:r w:rsidR="00A5658C" w:rsidRPr="009F3C37">
        <w:t xml:space="preserve">his </w:t>
      </w:r>
      <w:r w:rsidR="00801DF7" w:rsidRPr="009F3C37">
        <w:t>C</w:t>
      </w:r>
      <w:r w:rsidR="00A5658C" w:rsidRPr="009F3C37">
        <w:t>ourt’s</w:t>
      </w:r>
      <w:commentRangeEnd w:id="34"/>
      <w:r w:rsidR="009F3C37" w:rsidRPr="009F3C37">
        <w:rPr>
          <w:rStyle w:val="CommentReference"/>
          <w:sz w:val="24"/>
          <w:szCs w:val="24"/>
        </w:rPr>
        <w:commentReference w:id="34"/>
      </w:r>
      <w:commentRangeEnd w:id="35"/>
      <w:r w:rsidR="00F1131B" w:rsidRPr="009F3C37">
        <w:rPr>
          <w:rStyle w:val="CommentReference"/>
          <w:sz w:val="24"/>
          <w:szCs w:val="24"/>
        </w:rPr>
        <w:commentReference w:id="35"/>
      </w:r>
      <w:r w:rsidR="00A5658C" w:rsidRPr="009F3C37">
        <w:t xml:space="preserve"> “consistent approach to read provisions of the state Constitution as having a meaning fixed at the time of adoption” </w:t>
      </w:r>
      <w:r w:rsidR="00C70D2E" w:rsidRPr="009F3C37">
        <w:t xml:space="preserve">also </w:t>
      </w:r>
      <w:r w:rsidR="00A5658C" w:rsidRPr="009F3C37">
        <w:t xml:space="preserve">counsels against </w:t>
      </w:r>
      <w:r w:rsidR="00801DF7" w:rsidRPr="009F3C37">
        <w:t>presumptively</w:t>
      </w:r>
      <w:r w:rsidR="00DA6892" w:rsidRPr="009F3C37">
        <w:t xml:space="preserve"> align</w:t>
      </w:r>
      <w:r w:rsidR="00801DF7" w:rsidRPr="009F3C37">
        <w:t>ing North Dakota’s constitutional protections</w:t>
      </w:r>
      <w:r w:rsidR="00DA6892" w:rsidRPr="009F3C37">
        <w:t xml:space="preserve"> with federal constitutional rights</w:t>
      </w:r>
      <w:r w:rsidR="0066719F" w:rsidRPr="009F3C37">
        <w:rPr>
          <w:color w:val="000000" w:themeColor="text1"/>
        </w:rPr>
        <w:t>.</w:t>
      </w:r>
      <w:r w:rsidR="00402756" w:rsidRPr="009F3C37">
        <w:rPr>
          <w:color w:val="000000" w:themeColor="text1"/>
        </w:rPr>
        <w:t xml:space="preserve"> Tufte</w:t>
      </w:r>
      <w:r w:rsidR="00EA4DC9" w:rsidRPr="009F3C37">
        <w:rPr>
          <w:color w:val="000000" w:themeColor="text1"/>
        </w:rPr>
        <w:t>,</w:t>
      </w:r>
      <w:r w:rsidR="00402756" w:rsidRPr="009F3C37">
        <w:rPr>
          <w:color w:val="000000" w:themeColor="text1"/>
        </w:rPr>
        <w:t xml:space="preserve"> at </w:t>
      </w:r>
      <w:commentRangeStart w:id="36"/>
      <w:commentRangeStart w:id="37"/>
      <w:r w:rsidR="00C56799" w:rsidRPr="009F3C37">
        <w:rPr>
          <w:color w:val="000000" w:themeColor="text1"/>
        </w:rPr>
        <w:t>434.</w:t>
      </w:r>
      <w:commentRangeEnd w:id="36"/>
      <w:r w:rsidR="009F3C37" w:rsidRPr="009F3C37" w:rsidDel="00140808">
        <w:rPr>
          <w:rStyle w:val="CommentReference"/>
          <w:color w:val="000000" w:themeColor="text1"/>
          <w:sz w:val="24"/>
          <w:szCs w:val="24"/>
        </w:rPr>
        <w:commentReference w:id="36"/>
      </w:r>
      <w:commentRangeEnd w:id="37"/>
      <w:r w:rsidR="008248B0" w:rsidRPr="009F3C37">
        <w:rPr>
          <w:rStyle w:val="CommentReference"/>
          <w:color w:val="000000" w:themeColor="text1"/>
          <w:sz w:val="24"/>
          <w:szCs w:val="24"/>
        </w:rPr>
        <w:commentReference w:id="37"/>
      </w:r>
      <w:r w:rsidR="00C56799" w:rsidRPr="009F3C37">
        <w:rPr>
          <w:color w:val="000000" w:themeColor="text1"/>
        </w:rPr>
        <w:t xml:space="preserve"> </w:t>
      </w:r>
      <w:r w:rsidR="00E971C8" w:rsidRPr="009F3C37">
        <w:rPr>
          <w:color w:val="000000" w:themeColor="text1"/>
        </w:rPr>
        <w:t xml:space="preserve">In fact, </w:t>
      </w:r>
      <w:r w:rsidR="00011ADD" w:rsidRPr="009F3C37">
        <w:rPr>
          <w:color w:val="000000" w:themeColor="text1"/>
        </w:rPr>
        <w:t xml:space="preserve">leading </w:t>
      </w:r>
      <w:r w:rsidR="00E971C8" w:rsidRPr="009F3C37">
        <w:t>j</w:t>
      </w:r>
      <w:r w:rsidR="003D545C" w:rsidRPr="009F3C37">
        <w:t xml:space="preserve">urists have argued </w:t>
      </w:r>
      <w:r w:rsidR="00EA4DC9" w:rsidRPr="009F3C37">
        <w:t xml:space="preserve">in favor of </w:t>
      </w:r>
      <w:r w:rsidR="00B46321" w:rsidRPr="009F3C37">
        <w:t>an opposi</w:t>
      </w:r>
      <w:r w:rsidR="00014BCC" w:rsidRPr="009F3C37">
        <w:t>te</w:t>
      </w:r>
      <w:r w:rsidR="00B46321" w:rsidRPr="009F3C37">
        <w:t xml:space="preserve"> </w:t>
      </w:r>
      <w:r w:rsidR="00EA4DC9" w:rsidRPr="009F3C37">
        <w:t xml:space="preserve">presumption: </w:t>
      </w:r>
      <w:r w:rsidR="00A20B93" w:rsidRPr="009F3C37">
        <w:t xml:space="preserve">rather than </w:t>
      </w:r>
      <w:r w:rsidR="007137A9" w:rsidRPr="009F3C37">
        <w:t xml:space="preserve">defaulting to </w:t>
      </w:r>
      <w:r w:rsidR="007E3B66" w:rsidRPr="009F3C37">
        <w:t xml:space="preserve">“aligning </w:t>
      </w:r>
      <w:r w:rsidR="00011ADD" w:rsidRPr="009F3C37">
        <w:t>. . .</w:t>
      </w:r>
      <w:r w:rsidR="007E3B66" w:rsidRPr="009F3C37">
        <w:t xml:space="preserve"> equal protection analysis with that of the United States Supreme Court</w:t>
      </w:r>
      <w:r w:rsidR="00011ADD" w:rsidRPr="009F3C37">
        <w:t xml:space="preserve">,” TD </w:t>
      </w:r>
      <w:r w:rsidR="000614B9" w:rsidRPr="009F3C37">
        <w:t xml:space="preserve">Lower Court Opinion at </w:t>
      </w:r>
      <w:r w:rsidR="007137A9" w:rsidRPr="009F3C37">
        <w:t xml:space="preserve"> </w:t>
      </w:r>
      <w:r w:rsidR="00CE4ECB" w:rsidRPr="009F3C37">
        <w:t xml:space="preserve">¶ 66, </w:t>
      </w:r>
      <w:r w:rsidR="007137A9" w:rsidRPr="009F3C37">
        <w:t>they have</w:t>
      </w:r>
      <w:r w:rsidR="00A20B93" w:rsidRPr="009F3C37">
        <w:t xml:space="preserve"> urg</w:t>
      </w:r>
      <w:r w:rsidR="007137A9" w:rsidRPr="009F3C37">
        <w:t>e</w:t>
      </w:r>
      <w:r w:rsidR="00CE4ECB" w:rsidRPr="009F3C37">
        <w:t>d</w:t>
      </w:r>
      <w:r w:rsidR="00A20B93" w:rsidRPr="009F3C37">
        <w:t xml:space="preserve"> courts</w:t>
      </w:r>
      <w:r w:rsidR="00A22DDA">
        <w:t xml:space="preserve"> inclined</w:t>
      </w:r>
      <w:r w:rsidR="00011ADD" w:rsidRPr="009F3C37">
        <w:t xml:space="preserve"> to </w:t>
      </w:r>
      <w:r w:rsidR="008A127B" w:rsidRPr="009F3C37">
        <w:t xml:space="preserve">mirror federal analysis to first </w:t>
      </w:r>
      <w:r w:rsidR="00171B80" w:rsidRPr="009F3C37">
        <w:t>requir</w:t>
      </w:r>
      <w:r w:rsidR="00A20B93" w:rsidRPr="009F3C37">
        <w:t>e</w:t>
      </w:r>
      <w:r w:rsidR="00171B80" w:rsidRPr="009F3C37">
        <w:t xml:space="preserve"> “an affirmative showing” that “(1) the federal provision and the state provision share the same text, history, and context and (2) the federal decision was guided by that same text, history, and context</w:t>
      </w:r>
      <w:r w:rsidR="000F46B6" w:rsidRPr="009F3C37">
        <w:t>.</w:t>
      </w:r>
      <w:r w:rsidR="00171B80" w:rsidRPr="009F3C37">
        <w:t>”</w:t>
      </w:r>
      <w:r w:rsidR="00B35573" w:rsidRPr="009F3C37">
        <w:t xml:space="preserve"> </w:t>
      </w:r>
      <w:r w:rsidR="00F82AF6" w:rsidRPr="009F3C37">
        <w:t xml:space="preserve">Nels S.D. </w:t>
      </w:r>
      <w:r w:rsidR="00171B80" w:rsidRPr="009F3C37">
        <w:t>Petersen</w:t>
      </w:r>
      <w:r w:rsidR="00F82AF6" w:rsidRPr="009F3C37">
        <w:t xml:space="preserve">, </w:t>
      </w:r>
      <w:r w:rsidR="008B71DB" w:rsidRPr="009F3C37">
        <w:t xml:space="preserve">“Principles of Georgia Constitutional Interpretation,” </w:t>
      </w:r>
      <w:r w:rsidR="00F82AF6" w:rsidRPr="009F3C37">
        <w:t xml:space="preserve">75 Mercer L. Rev. 1, 19 (2023) </w:t>
      </w:r>
      <w:r w:rsidR="009F6297" w:rsidRPr="009F3C37">
        <w:t>(</w:t>
      </w:r>
      <w:r w:rsidR="008F445A" w:rsidRPr="009F3C37">
        <w:t>arguing that interpreting state constitution</w:t>
      </w:r>
      <w:r w:rsidR="007E29B1" w:rsidRPr="009F3C37">
        <w:t>s</w:t>
      </w:r>
      <w:r w:rsidR="008F445A" w:rsidRPr="009F3C37">
        <w:t xml:space="preserve"> in “lockstep” with the federal constitution “appears </w:t>
      </w:r>
      <w:r w:rsidR="009F6297" w:rsidRPr="009F3C37">
        <w:t>wholly incompatible with the principles of fixed meaning, textualism, and the independence of state constitutions</w:t>
      </w:r>
      <w:r w:rsidR="00B54302" w:rsidRPr="009F3C37">
        <w:t>”)</w:t>
      </w:r>
      <w:r w:rsidR="00790177" w:rsidRPr="009F3C37">
        <w:t xml:space="preserve">. </w:t>
      </w:r>
      <w:r w:rsidR="00790177" w:rsidRPr="009F3C37">
        <w:rPr>
          <w:i/>
          <w:iCs/>
        </w:rPr>
        <w:t>See also</w:t>
      </w:r>
      <w:r w:rsidR="00B54302" w:rsidRPr="009F3C37">
        <w:t xml:space="preserve"> </w:t>
      </w:r>
      <w:r w:rsidR="009F6297" w:rsidRPr="009F3C37">
        <w:rPr>
          <w:color w:val="000000" w:themeColor="text1"/>
        </w:rPr>
        <w:t xml:space="preserve">R. Patrick DeWine, “Interpreting the Ohio Constitution,” 86 Ohio L. J. 1, </w:t>
      </w:r>
      <w:r w:rsidR="00CE4ECB" w:rsidRPr="009F3C37">
        <w:rPr>
          <w:color w:val="000000" w:themeColor="text1"/>
        </w:rPr>
        <w:t>2</w:t>
      </w:r>
      <w:r w:rsidR="009F6297" w:rsidRPr="009F3C37">
        <w:rPr>
          <w:color w:val="000000" w:themeColor="text1"/>
        </w:rPr>
        <w:t xml:space="preserve"> (forthcoming</w:t>
      </w:r>
      <w:r w:rsidR="008B71DB" w:rsidRPr="009F3C37">
        <w:rPr>
          <w:color w:val="000000" w:themeColor="text1"/>
        </w:rPr>
        <w:t xml:space="preserve"> 2026</w:t>
      </w:r>
      <w:r w:rsidR="009F6297" w:rsidRPr="009F3C37">
        <w:rPr>
          <w:color w:val="000000" w:themeColor="text1"/>
        </w:rPr>
        <w:t>)</w:t>
      </w:r>
      <w:r w:rsidR="008B71DB" w:rsidRPr="009F3C37">
        <w:rPr>
          <w:color w:val="000000" w:themeColor="text1"/>
        </w:rPr>
        <w:t xml:space="preserve"> </w:t>
      </w:r>
      <w:r w:rsidR="00171B80" w:rsidRPr="009F3C37">
        <w:t xml:space="preserve">(arguing that </w:t>
      </w:r>
      <w:r w:rsidR="0014432C" w:rsidRPr="009F3C37">
        <w:t>courts “</w:t>
      </w:r>
      <w:r w:rsidR="0014432C" w:rsidRPr="009F3C37">
        <w:rPr>
          <w:color w:val="000000"/>
        </w:rPr>
        <w:t>should give minimal stare decisis effect to precedent that announces without</w:t>
      </w:r>
      <w:r w:rsidR="0014432C" w:rsidRPr="009F3C37">
        <w:t xml:space="preserve"> </w:t>
      </w:r>
      <w:r w:rsidR="0014432C" w:rsidRPr="009F3C37">
        <w:rPr>
          <w:color w:val="000000"/>
        </w:rPr>
        <w:t>analysis that a particular provision of the Ohio Constitution has the same meaning as a similar</w:t>
      </w:r>
      <w:r w:rsidR="0014432C" w:rsidRPr="009F3C37">
        <w:t xml:space="preserve"> </w:t>
      </w:r>
      <w:r w:rsidR="0014432C" w:rsidRPr="009F3C37">
        <w:rPr>
          <w:color w:val="000000"/>
        </w:rPr>
        <w:t xml:space="preserve">provision in the federal </w:t>
      </w:r>
      <w:commentRangeStart w:id="38"/>
      <w:r w:rsidR="0014432C" w:rsidRPr="009F3C37">
        <w:rPr>
          <w:color w:val="000000"/>
        </w:rPr>
        <w:t>constitution</w:t>
      </w:r>
      <w:commentRangeEnd w:id="38"/>
      <w:r w:rsidR="00A21CCE" w:rsidRPr="009F3C37">
        <w:rPr>
          <w:rStyle w:val="CommentReference"/>
          <w:color w:val="000000"/>
          <w:sz w:val="24"/>
          <w:szCs w:val="24"/>
        </w:rPr>
        <w:commentReference w:id="38"/>
      </w:r>
      <w:r w:rsidR="0014432C" w:rsidRPr="009F3C37">
        <w:rPr>
          <w:color w:val="000000"/>
        </w:rPr>
        <w:t>”).</w:t>
      </w:r>
    </w:p>
    <w:p w14:paraId="05F59667" w14:textId="1579A6FF" w:rsidR="003B7BEA" w:rsidRPr="00CC633A" w:rsidRDefault="00F93F3F" w:rsidP="00CC633A">
      <w:pPr>
        <w:pStyle w:val="ListParagraph"/>
        <w:numPr>
          <w:ilvl w:val="0"/>
          <w:numId w:val="20"/>
        </w:numPr>
        <w:spacing w:line="480" w:lineRule="auto"/>
        <w:rPr>
          <w:b/>
          <w:bCs/>
          <w:u w:val="single"/>
        </w:rPr>
      </w:pPr>
      <w:bookmarkStart w:id="39" w:name="_Toc225513549"/>
      <w:r w:rsidRPr="00CC633A">
        <w:rPr>
          <w:b/>
          <w:bCs/>
          <w:u w:val="single"/>
        </w:rPr>
        <w:t xml:space="preserve">Independent Interpretation of State Constitutions Preserves </w:t>
      </w:r>
      <w:r w:rsidR="00131C42" w:rsidRPr="00CC633A">
        <w:rPr>
          <w:b/>
          <w:bCs/>
          <w:u w:val="single"/>
        </w:rPr>
        <w:t xml:space="preserve">Federalism </w:t>
      </w:r>
      <w:r w:rsidRPr="00CC633A">
        <w:rPr>
          <w:b/>
          <w:bCs/>
          <w:u w:val="single"/>
        </w:rPr>
        <w:t xml:space="preserve">Better than Presumptive Alignment with Federal </w:t>
      </w:r>
      <w:r w:rsidR="00A455D9" w:rsidRPr="00CC633A">
        <w:rPr>
          <w:b/>
          <w:bCs/>
          <w:u w:val="single"/>
        </w:rPr>
        <w:t xml:space="preserve">Constitutional </w:t>
      </w:r>
      <w:r w:rsidRPr="00CC633A">
        <w:rPr>
          <w:b/>
          <w:bCs/>
          <w:u w:val="single"/>
        </w:rPr>
        <w:t>Law</w:t>
      </w:r>
      <w:bookmarkEnd w:id="39"/>
    </w:p>
    <w:p w14:paraId="5FAE2349" w14:textId="4264A803" w:rsidR="000E0C0D" w:rsidRPr="000C43AD" w:rsidRDefault="00594259" w:rsidP="00317018">
      <w:pPr>
        <w:spacing w:line="480" w:lineRule="auto"/>
        <w:jc w:val="both"/>
        <w:rPr>
          <w:color w:val="000000" w:themeColor="text1"/>
          <w:shd w:val="clear" w:color="auto" w:fill="FFFFFF"/>
        </w:rPr>
      </w:pPr>
      <w:r w:rsidRPr="009F3C37">
        <w:rPr>
          <w:color w:val="000000" w:themeColor="text1"/>
        </w:rPr>
        <w:lastRenderedPageBreak/>
        <w:t xml:space="preserve"> </w:t>
      </w:r>
      <w:r w:rsidR="00472DF9" w:rsidRPr="009F3C37">
        <w:rPr>
          <w:color w:val="000000" w:themeColor="text1"/>
        </w:rPr>
        <w:tab/>
      </w:r>
      <w:r w:rsidR="00F52DFF" w:rsidRPr="009F3C37">
        <w:rPr>
          <w:color w:val="000000" w:themeColor="text1"/>
        </w:rPr>
        <w:t>“</w:t>
      </w:r>
      <w:r w:rsidR="00151D1D" w:rsidRPr="009F3C37">
        <w:rPr>
          <w:color w:val="000000" w:themeColor="text1"/>
        </w:rPr>
        <w:t>S</w:t>
      </w:r>
      <w:r w:rsidR="00F52DFF" w:rsidRPr="009F3C37">
        <w:rPr>
          <w:color w:val="000000" w:themeColor="text1"/>
        </w:rPr>
        <w:t>tate constitutional law plays an important role in securing the liberties that flow from federalism</w:t>
      </w:r>
      <w:r w:rsidR="00151D1D" w:rsidRPr="009F3C37">
        <w:rPr>
          <w:color w:val="000000" w:themeColor="text1"/>
        </w:rPr>
        <w:t>.</w:t>
      </w:r>
      <w:r w:rsidR="00F52DFF" w:rsidRPr="009F3C37">
        <w:rPr>
          <w:color w:val="000000" w:themeColor="text1"/>
        </w:rPr>
        <w:t xml:space="preserve">” </w:t>
      </w:r>
      <w:commentRangeStart w:id="40"/>
      <w:r w:rsidR="00764040" w:rsidRPr="009F3C37">
        <w:rPr>
          <w:color w:val="000000" w:themeColor="text1"/>
        </w:rPr>
        <w:t>Hon</w:t>
      </w:r>
      <w:commentRangeEnd w:id="40"/>
      <w:r w:rsidR="009F3C37" w:rsidRPr="009F3C37">
        <w:rPr>
          <w:rStyle w:val="CommentReference"/>
          <w:color w:val="000000" w:themeColor="text1"/>
          <w:sz w:val="24"/>
          <w:szCs w:val="24"/>
        </w:rPr>
        <w:commentReference w:id="40"/>
      </w:r>
      <w:r w:rsidR="00764040" w:rsidRPr="009F3C37">
        <w:rPr>
          <w:color w:val="000000" w:themeColor="text1"/>
        </w:rPr>
        <w:t xml:space="preserve">. </w:t>
      </w:r>
      <w:r w:rsidR="00F52DFF" w:rsidRPr="009F3C37">
        <w:rPr>
          <w:color w:val="000000" w:themeColor="text1"/>
        </w:rPr>
        <w:t xml:space="preserve">Loretta H. Rush &amp; Marie Forney Miller, </w:t>
      </w:r>
      <w:r w:rsidR="00FF0098" w:rsidRPr="009F3C37">
        <w:rPr>
          <w:color w:val="000000" w:themeColor="text1"/>
        </w:rPr>
        <w:t>“</w:t>
      </w:r>
      <w:r w:rsidR="00F52DFF" w:rsidRPr="009F3C37">
        <w:rPr>
          <w:color w:val="000000" w:themeColor="text1"/>
        </w:rPr>
        <w:t>A Constellation of Constitutions: Discovering &amp; Embracing State Constitutions as Guardians of Civil Liberties,</w:t>
      </w:r>
      <w:r w:rsidR="00FF0098" w:rsidRPr="009F3C37">
        <w:rPr>
          <w:color w:val="000000" w:themeColor="text1"/>
        </w:rPr>
        <w:t>”</w:t>
      </w:r>
      <w:r w:rsidR="00F52DFF" w:rsidRPr="009F3C37">
        <w:rPr>
          <w:color w:val="000000" w:themeColor="text1"/>
        </w:rPr>
        <w:t xml:space="preserve"> 82 Alb. L. Rev. 1353, 1356 (2019)</w:t>
      </w:r>
      <w:r w:rsidR="00600DBA" w:rsidRPr="009F3C37">
        <w:rPr>
          <w:color w:val="000000" w:themeColor="text1"/>
        </w:rPr>
        <w:t xml:space="preserve">. </w:t>
      </w:r>
      <w:r w:rsidR="0075404C" w:rsidRPr="009F3C37">
        <w:rPr>
          <w:color w:val="000000" w:themeColor="text1"/>
          <w:shd w:val="clear" w:color="auto" w:fill="FFFFFF"/>
        </w:rPr>
        <w:t xml:space="preserve">“Just as separation of powers </w:t>
      </w:r>
      <w:r w:rsidR="00167830" w:rsidRPr="009F3C37">
        <w:rPr>
          <w:color w:val="000000" w:themeColor="text1"/>
          <w:shd w:val="clear" w:color="auto" w:fill="FFFFFF"/>
        </w:rPr>
        <w:t>. . .</w:t>
      </w:r>
      <w:r w:rsidR="0075404C" w:rsidRPr="009F3C37">
        <w:rPr>
          <w:color w:val="000000" w:themeColor="text1"/>
          <w:shd w:val="clear" w:color="auto" w:fill="FFFFFF"/>
        </w:rPr>
        <w:t xml:space="preserve"> among the three branches of government . . . guard against overconcentration of authority, so does federalism’s diffusion of power between federal and state governments.” </w:t>
      </w:r>
      <w:r w:rsidR="0075404C" w:rsidRPr="009F3C37">
        <w:rPr>
          <w:i/>
          <w:iCs/>
          <w:color w:val="000000" w:themeColor="text1"/>
          <w:shd w:val="clear" w:color="auto" w:fill="FFFFFF"/>
        </w:rPr>
        <w:t xml:space="preserve">Id. </w:t>
      </w:r>
    </w:p>
    <w:p w14:paraId="60BEA616" w14:textId="23693BA5" w:rsidR="0075404C" w:rsidRPr="009F3C37" w:rsidRDefault="008F0CA8" w:rsidP="00F92867">
      <w:pPr>
        <w:spacing w:line="480" w:lineRule="auto"/>
        <w:ind w:firstLine="720"/>
        <w:jc w:val="both"/>
        <w:rPr>
          <w:color w:val="000000" w:themeColor="text1"/>
        </w:rPr>
      </w:pPr>
      <w:r w:rsidRPr="009F3C37">
        <w:rPr>
          <w:color w:val="000000" w:themeColor="text1"/>
        </w:rPr>
        <w:t xml:space="preserve">Independent interpretation and enforcement of state constitutional rights preserves </w:t>
      </w:r>
      <w:r w:rsidR="00F87C1D" w:rsidRPr="009F3C37">
        <w:rPr>
          <w:color w:val="000000" w:themeColor="text1"/>
        </w:rPr>
        <w:t>the</w:t>
      </w:r>
      <w:r w:rsidR="00A7100E" w:rsidRPr="009F3C37">
        <w:rPr>
          <w:color w:val="000000" w:themeColor="text1"/>
        </w:rPr>
        <w:t xml:space="preserve"> </w:t>
      </w:r>
      <w:r w:rsidR="00F87C1D" w:rsidRPr="009F3C37">
        <w:rPr>
          <w:color w:val="000000" w:themeColor="text1"/>
        </w:rPr>
        <w:t>liberties of federalism</w:t>
      </w:r>
      <w:r w:rsidR="00A7100E" w:rsidRPr="009F3C37">
        <w:rPr>
          <w:color w:val="000000" w:themeColor="text1"/>
        </w:rPr>
        <w:t xml:space="preserve"> better </w:t>
      </w:r>
      <w:r w:rsidRPr="009F3C37">
        <w:rPr>
          <w:color w:val="000000" w:themeColor="text1"/>
        </w:rPr>
        <w:t xml:space="preserve">than </w:t>
      </w:r>
      <w:r w:rsidR="002566AB" w:rsidRPr="009F3C37">
        <w:rPr>
          <w:color w:val="000000" w:themeColor="text1"/>
        </w:rPr>
        <w:t>presuming alignment with federal law.</w:t>
      </w:r>
      <w:r w:rsidRPr="009F3C37">
        <w:rPr>
          <w:color w:val="000000" w:themeColor="text1"/>
        </w:rPr>
        <w:t xml:space="preserve"> Sutton, </w:t>
      </w:r>
      <w:r w:rsidR="00384FF0" w:rsidRPr="009F3C37">
        <w:rPr>
          <w:i/>
          <w:iCs/>
          <w:color w:val="000000" w:themeColor="text1"/>
        </w:rPr>
        <w:t>51 Imperfect Solutions</w:t>
      </w:r>
      <w:r w:rsidR="00384FF0" w:rsidRPr="009F3C37">
        <w:rPr>
          <w:color w:val="000000" w:themeColor="text1"/>
        </w:rPr>
        <w:t>, 175</w:t>
      </w:r>
      <w:r w:rsidR="002566AB" w:rsidRPr="009F3C37">
        <w:rPr>
          <w:color w:val="000000" w:themeColor="text1"/>
        </w:rPr>
        <w:t xml:space="preserve"> (arguing that lockstepping poses “[a] grave threat to independent state constitutions.”); </w:t>
      </w:r>
      <w:r w:rsidR="0075404C" w:rsidRPr="009F3C37">
        <w:rPr>
          <w:color w:val="000000" w:themeColor="text1"/>
        </w:rPr>
        <w:t xml:space="preserve">Rush &amp; Miller at 1358 (arguing that </w:t>
      </w:r>
      <w:r w:rsidR="00F42A45" w:rsidRPr="009F3C37">
        <w:rPr>
          <w:color w:val="000000" w:themeColor="text1"/>
        </w:rPr>
        <w:t>lockstepping</w:t>
      </w:r>
      <w:r w:rsidR="0075404C" w:rsidRPr="009F3C37">
        <w:rPr>
          <w:color w:val="000000" w:themeColor="text1"/>
        </w:rPr>
        <w:t xml:space="preserve"> </w:t>
      </w:r>
      <w:r w:rsidR="00F42A45" w:rsidRPr="009F3C37">
        <w:rPr>
          <w:color w:val="000000" w:themeColor="text1"/>
        </w:rPr>
        <w:t>“</w:t>
      </w:r>
      <w:r w:rsidR="0075404C" w:rsidRPr="009F3C37">
        <w:rPr>
          <w:color w:val="000000" w:themeColor="text1"/>
        </w:rPr>
        <w:t>weaken[s] the federalism framework that wards off overconcentration of authority.”).</w:t>
      </w:r>
    </w:p>
    <w:p w14:paraId="3A717FE2" w14:textId="120EEA19" w:rsidR="00F914AD" w:rsidRPr="009F3C37" w:rsidRDefault="0038544F" w:rsidP="006A23B3">
      <w:pPr>
        <w:pStyle w:val="Heading2"/>
        <w:numPr>
          <w:ilvl w:val="1"/>
          <w:numId w:val="20"/>
        </w:numPr>
        <w:spacing w:before="0" w:after="0" w:line="480" w:lineRule="auto"/>
        <w:jc w:val="both"/>
        <w:rPr>
          <w:rFonts w:ascii="Times New Roman" w:hAnsi="Times New Roman" w:cs="Times New Roman"/>
          <w:b/>
          <w:bCs/>
          <w:color w:val="000000" w:themeColor="text1"/>
          <w:sz w:val="24"/>
          <w:szCs w:val="24"/>
          <w:u w:val="single"/>
        </w:rPr>
      </w:pPr>
      <w:bookmarkStart w:id="41" w:name="_Toc225513550"/>
      <w:r w:rsidRPr="009F3C37">
        <w:rPr>
          <w:rFonts w:ascii="Times New Roman" w:hAnsi="Times New Roman" w:cs="Times New Roman"/>
          <w:b/>
          <w:bCs/>
          <w:color w:val="000000" w:themeColor="text1"/>
          <w:sz w:val="24"/>
          <w:szCs w:val="24"/>
          <w:u w:val="single"/>
        </w:rPr>
        <w:t>Adopting</w:t>
      </w:r>
      <w:r w:rsidR="00125A4A" w:rsidRPr="009F3C37">
        <w:rPr>
          <w:rFonts w:ascii="Times New Roman" w:hAnsi="Times New Roman" w:cs="Times New Roman"/>
          <w:b/>
          <w:bCs/>
          <w:color w:val="000000" w:themeColor="text1"/>
          <w:sz w:val="24"/>
          <w:szCs w:val="24"/>
          <w:u w:val="single"/>
        </w:rPr>
        <w:t xml:space="preserve"> </w:t>
      </w:r>
      <w:r w:rsidR="00E8334C" w:rsidRPr="009F3C37">
        <w:rPr>
          <w:rFonts w:ascii="Times New Roman" w:hAnsi="Times New Roman" w:cs="Times New Roman"/>
          <w:b/>
          <w:bCs/>
          <w:color w:val="000000" w:themeColor="text1"/>
          <w:sz w:val="24"/>
          <w:szCs w:val="24"/>
          <w:u w:val="single"/>
        </w:rPr>
        <w:t>Federal Constitutional Analysis</w:t>
      </w:r>
      <w:r w:rsidR="00945F3B" w:rsidRPr="009F3C37">
        <w:rPr>
          <w:rFonts w:ascii="Times New Roman" w:hAnsi="Times New Roman" w:cs="Times New Roman"/>
          <w:b/>
          <w:bCs/>
          <w:color w:val="000000" w:themeColor="text1"/>
          <w:sz w:val="24"/>
          <w:szCs w:val="24"/>
          <w:u w:val="single"/>
        </w:rPr>
        <w:t xml:space="preserve"> </w:t>
      </w:r>
      <w:r w:rsidR="002E7428" w:rsidRPr="009F3C37">
        <w:rPr>
          <w:rFonts w:ascii="Times New Roman" w:hAnsi="Times New Roman" w:cs="Times New Roman"/>
          <w:b/>
          <w:bCs/>
          <w:color w:val="000000" w:themeColor="text1"/>
          <w:sz w:val="24"/>
          <w:szCs w:val="24"/>
          <w:u w:val="single"/>
        </w:rPr>
        <w:t>Import</w:t>
      </w:r>
      <w:r w:rsidR="00325E11" w:rsidRPr="009F3C37">
        <w:rPr>
          <w:rFonts w:ascii="Times New Roman" w:hAnsi="Times New Roman" w:cs="Times New Roman"/>
          <w:b/>
          <w:bCs/>
          <w:color w:val="000000" w:themeColor="text1"/>
          <w:sz w:val="24"/>
          <w:szCs w:val="24"/>
          <w:u w:val="single"/>
        </w:rPr>
        <w:t>s Federal</w:t>
      </w:r>
      <w:r w:rsidR="002E7428" w:rsidRPr="009F3C37">
        <w:rPr>
          <w:rFonts w:ascii="Times New Roman" w:hAnsi="Times New Roman" w:cs="Times New Roman"/>
          <w:b/>
          <w:bCs/>
          <w:color w:val="000000" w:themeColor="text1"/>
          <w:sz w:val="24"/>
          <w:szCs w:val="24"/>
          <w:u w:val="single"/>
        </w:rPr>
        <w:t xml:space="preserve"> Prudential Concerns</w:t>
      </w:r>
      <w:r w:rsidR="00340A09" w:rsidRPr="009F3C37">
        <w:rPr>
          <w:rFonts w:ascii="Times New Roman" w:hAnsi="Times New Roman" w:cs="Times New Roman"/>
          <w:b/>
          <w:bCs/>
          <w:color w:val="000000" w:themeColor="text1"/>
          <w:sz w:val="24"/>
          <w:szCs w:val="24"/>
          <w:u w:val="single"/>
        </w:rPr>
        <w:t xml:space="preserve"> that </w:t>
      </w:r>
      <w:r w:rsidR="0057117E" w:rsidRPr="009F3C37">
        <w:rPr>
          <w:rFonts w:ascii="Times New Roman" w:hAnsi="Times New Roman" w:cs="Times New Roman"/>
          <w:b/>
          <w:bCs/>
          <w:color w:val="000000" w:themeColor="text1"/>
          <w:sz w:val="24"/>
          <w:szCs w:val="24"/>
          <w:u w:val="single"/>
        </w:rPr>
        <w:t>Do Not Apply When State Courts Adjudicate State Constitutional Claims</w:t>
      </w:r>
      <w:bookmarkEnd w:id="41"/>
      <w:r w:rsidR="00340A09" w:rsidRPr="009F3C37">
        <w:rPr>
          <w:rFonts w:ascii="Times New Roman" w:hAnsi="Times New Roman" w:cs="Times New Roman"/>
          <w:b/>
          <w:bCs/>
          <w:color w:val="000000" w:themeColor="text1"/>
          <w:sz w:val="24"/>
          <w:szCs w:val="24"/>
          <w:u w:val="single"/>
        </w:rPr>
        <w:t xml:space="preserve"> </w:t>
      </w:r>
    </w:p>
    <w:p w14:paraId="2FEA5227" w14:textId="17BEC1BB" w:rsidR="00223C84" w:rsidRPr="009F3C37" w:rsidRDefault="00982C8E" w:rsidP="00513908">
      <w:pPr>
        <w:spacing w:line="480" w:lineRule="auto"/>
        <w:ind w:firstLine="720"/>
        <w:jc w:val="both"/>
        <w:rPr>
          <w:color w:val="000000" w:themeColor="text1"/>
        </w:rPr>
      </w:pPr>
      <w:r w:rsidRPr="009F3C37">
        <w:rPr>
          <w:color w:val="000000" w:themeColor="text1"/>
        </w:rPr>
        <w:t xml:space="preserve">The prudential concerns that often undergird federal constitutional rulings can render them an inaccurate </w:t>
      </w:r>
      <w:r w:rsidR="00F33065" w:rsidRPr="009F3C37">
        <w:rPr>
          <w:color w:val="000000" w:themeColor="text1"/>
        </w:rPr>
        <w:t>compass for state judges enforcing state constitutional rights</w:t>
      </w:r>
      <w:r w:rsidR="00334AF9" w:rsidRPr="009F3C37">
        <w:rPr>
          <w:color w:val="000000" w:themeColor="text1"/>
        </w:rPr>
        <w:t>.</w:t>
      </w:r>
      <w:r w:rsidR="007B582E" w:rsidRPr="009F3C37">
        <w:rPr>
          <w:color w:val="000000" w:themeColor="text1"/>
        </w:rPr>
        <w:t xml:space="preserve"> </w:t>
      </w:r>
      <w:r w:rsidR="0038544F" w:rsidRPr="009F3C37">
        <w:rPr>
          <w:color w:val="000000" w:themeColor="text1"/>
        </w:rPr>
        <w:t>A</w:t>
      </w:r>
      <w:r w:rsidR="007B4ECC" w:rsidRPr="009F3C37">
        <w:rPr>
          <w:color w:val="000000" w:themeColor="text1"/>
        </w:rPr>
        <w:t xml:space="preserve">s </w:t>
      </w:r>
      <w:r w:rsidR="00223C84" w:rsidRPr="009F3C37">
        <w:rPr>
          <w:color w:val="000000" w:themeColor="text1"/>
        </w:rPr>
        <w:t xml:space="preserve">acknowledged by </w:t>
      </w:r>
      <w:r w:rsidR="00161E76" w:rsidRPr="009F3C37">
        <w:rPr>
          <w:color w:val="000000" w:themeColor="text1"/>
        </w:rPr>
        <w:t xml:space="preserve">many </w:t>
      </w:r>
      <w:r w:rsidR="00223C84" w:rsidRPr="009F3C37">
        <w:rPr>
          <w:color w:val="000000" w:themeColor="text1"/>
        </w:rPr>
        <w:t>federal judges</w:t>
      </w:r>
      <w:r w:rsidR="007B4ECC" w:rsidRPr="009F3C37">
        <w:rPr>
          <w:color w:val="000000" w:themeColor="text1"/>
        </w:rPr>
        <w:t xml:space="preserve">, </w:t>
      </w:r>
      <w:r w:rsidR="00657740">
        <w:rPr>
          <w:color w:val="000000" w:themeColor="text1"/>
        </w:rPr>
        <w:t>“</w:t>
      </w:r>
      <w:r w:rsidR="00657740">
        <w:t>the institutional position of the federal Supreme Court cause</w:t>
      </w:r>
      <w:r w:rsidR="00513908">
        <w:t>s</w:t>
      </w:r>
      <w:r w:rsidR="00657740">
        <w:t xml:space="preserve"> it to ‘underenforce’ constitutional norms</w:t>
      </w:r>
      <w:r w:rsidR="00513908">
        <w:t xml:space="preserve">.” </w:t>
      </w:r>
      <w:r w:rsidR="003F595A" w:rsidRPr="009F3C37">
        <w:rPr>
          <w:color w:val="000000" w:themeColor="text1"/>
        </w:rPr>
        <w:t xml:space="preserve">Sutton, </w:t>
      </w:r>
      <w:r w:rsidR="003F595A" w:rsidRPr="009F3C37">
        <w:rPr>
          <w:i/>
          <w:iCs/>
          <w:color w:val="000000" w:themeColor="text1"/>
        </w:rPr>
        <w:t>51 Imperfect Solutions</w:t>
      </w:r>
      <w:r w:rsidR="000E1418" w:rsidRPr="009F3C37">
        <w:rPr>
          <w:color w:val="000000" w:themeColor="text1"/>
        </w:rPr>
        <w:t xml:space="preserve">, at </w:t>
      </w:r>
      <w:r w:rsidR="009822CE">
        <w:rPr>
          <w:color w:val="000000" w:themeColor="text1"/>
        </w:rPr>
        <w:t>189</w:t>
      </w:r>
      <w:r w:rsidR="000E1418" w:rsidRPr="009F3C37">
        <w:rPr>
          <w:color w:val="000000" w:themeColor="text1"/>
        </w:rPr>
        <w:t>.</w:t>
      </w:r>
      <w:r w:rsidR="003F595A" w:rsidRPr="009F3C37">
        <w:rPr>
          <w:color w:val="000000" w:themeColor="text1"/>
        </w:rPr>
        <w:t xml:space="preserve"> </w:t>
      </w:r>
      <w:r w:rsidR="0006108B" w:rsidRPr="009F3C37">
        <w:rPr>
          <w:color w:val="000000" w:themeColor="text1"/>
        </w:rPr>
        <w:t>State courts</w:t>
      </w:r>
      <w:r w:rsidR="00CB4F7D">
        <w:rPr>
          <w:color w:val="000000" w:themeColor="text1"/>
        </w:rPr>
        <w:t xml:space="preserve"> are differently position</w:t>
      </w:r>
      <w:r w:rsidR="009822CE">
        <w:rPr>
          <w:color w:val="000000" w:themeColor="text1"/>
        </w:rPr>
        <w:t>ed</w:t>
      </w:r>
      <w:r w:rsidR="00CB4F7D">
        <w:rPr>
          <w:color w:val="000000" w:themeColor="text1"/>
        </w:rPr>
        <w:t xml:space="preserve"> and</w:t>
      </w:r>
      <w:r w:rsidR="0006108B" w:rsidRPr="009F3C37">
        <w:rPr>
          <w:color w:val="000000" w:themeColor="text1"/>
        </w:rPr>
        <w:t xml:space="preserve"> have </w:t>
      </w:r>
      <w:r w:rsidR="004E3CE8" w:rsidRPr="009F3C37">
        <w:rPr>
          <w:color w:val="000000" w:themeColor="text1"/>
        </w:rPr>
        <w:t>no</w:t>
      </w:r>
      <w:r w:rsidR="00BB3052" w:rsidRPr="009F3C37">
        <w:rPr>
          <w:color w:val="000000" w:themeColor="text1"/>
        </w:rPr>
        <w:t xml:space="preserve"> analogous</w:t>
      </w:r>
      <w:r w:rsidR="004E3CE8" w:rsidRPr="009F3C37">
        <w:rPr>
          <w:color w:val="000000" w:themeColor="text1"/>
        </w:rPr>
        <w:t xml:space="preserve"> </w:t>
      </w:r>
      <w:r w:rsidR="0006108B" w:rsidRPr="009F3C37">
        <w:rPr>
          <w:color w:val="000000" w:themeColor="text1"/>
        </w:rPr>
        <w:t>reason to act with similar restraint when enforcing state constitutional protections</w:t>
      </w:r>
      <w:r w:rsidR="00BB3052" w:rsidRPr="009F3C37">
        <w:rPr>
          <w:color w:val="000000" w:themeColor="text1"/>
        </w:rPr>
        <w:t>.</w:t>
      </w:r>
    </w:p>
    <w:p w14:paraId="09B4BD90" w14:textId="1F6E9347" w:rsidR="00C34C39" w:rsidRPr="009F3C37" w:rsidRDefault="0006108B" w:rsidP="00550680">
      <w:pPr>
        <w:spacing w:line="480" w:lineRule="auto"/>
        <w:ind w:firstLine="720"/>
        <w:jc w:val="both"/>
        <w:rPr>
          <w:iCs/>
          <w:color w:val="000000" w:themeColor="text1"/>
        </w:rPr>
      </w:pPr>
      <w:commentRangeStart w:id="42"/>
      <w:commentRangeStart w:id="43"/>
      <w:commentRangeStart w:id="44"/>
      <w:r w:rsidRPr="009F3C37">
        <w:rPr>
          <w:color w:val="000000" w:themeColor="text1"/>
        </w:rPr>
        <w:t xml:space="preserve">In fact, </w:t>
      </w:r>
      <w:r w:rsidR="00BF4BCD" w:rsidRPr="009F3C37">
        <w:rPr>
          <w:color w:val="000000" w:themeColor="text1"/>
        </w:rPr>
        <w:t>state judges</w:t>
      </w:r>
      <w:r w:rsidR="007E696A" w:rsidRPr="009F3C37">
        <w:rPr>
          <w:color w:val="000000" w:themeColor="text1"/>
        </w:rPr>
        <w:t xml:space="preserve"> should</w:t>
      </w:r>
      <w:r w:rsidR="00D64775" w:rsidRPr="009F3C37">
        <w:rPr>
          <w:color w:val="000000" w:themeColor="text1"/>
        </w:rPr>
        <w:t>, if anything,</w:t>
      </w:r>
      <w:r w:rsidR="004E3CE8" w:rsidRPr="009F3C37">
        <w:rPr>
          <w:color w:val="000000" w:themeColor="text1"/>
        </w:rPr>
        <w:t xml:space="preserve"> </w:t>
      </w:r>
      <w:commentRangeEnd w:id="42"/>
      <w:r w:rsidR="00675908" w:rsidRPr="009F3C37">
        <w:rPr>
          <w:rStyle w:val="CommentReference"/>
          <w:color w:val="000000" w:themeColor="text1"/>
          <w:sz w:val="24"/>
          <w:szCs w:val="24"/>
        </w:rPr>
        <w:commentReference w:id="42"/>
      </w:r>
      <w:commentRangeEnd w:id="43"/>
      <w:r w:rsidR="00DC4EAB" w:rsidRPr="009F3C37">
        <w:rPr>
          <w:rStyle w:val="CommentReference"/>
          <w:color w:val="000000" w:themeColor="text1"/>
          <w:sz w:val="24"/>
          <w:szCs w:val="24"/>
        </w:rPr>
        <w:commentReference w:id="43"/>
      </w:r>
      <w:commentRangeEnd w:id="44"/>
      <w:r w:rsidR="001467C7" w:rsidRPr="009F3C37">
        <w:rPr>
          <w:rStyle w:val="CommentReference"/>
          <w:color w:val="000000" w:themeColor="text1"/>
          <w:sz w:val="24"/>
          <w:szCs w:val="24"/>
        </w:rPr>
        <w:commentReference w:id="44"/>
      </w:r>
      <w:r w:rsidR="00BC4F9C" w:rsidRPr="009F3C37">
        <w:rPr>
          <w:color w:val="000000" w:themeColor="text1"/>
        </w:rPr>
        <w:t xml:space="preserve">take </w:t>
      </w:r>
      <w:r w:rsidR="00272C16" w:rsidRPr="009F3C37">
        <w:rPr>
          <w:color w:val="000000" w:themeColor="text1"/>
        </w:rPr>
        <w:t xml:space="preserve">extra </w:t>
      </w:r>
      <w:r w:rsidR="00BC4F9C" w:rsidRPr="009F3C37">
        <w:rPr>
          <w:color w:val="000000" w:themeColor="text1"/>
        </w:rPr>
        <w:t xml:space="preserve">care to </w:t>
      </w:r>
      <w:r w:rsidRPr="009F3C37">
        <w:rPr>
          <w:color w:val="000000" w:themeColor="text1"/>
        </w:rPr>
        <w:t xml:space="preserve">avoid underenforcing state constitutional rights </w:t>
      </w:r>
      <w:r w:rsidR="00272C16" w:rsidRPr="009F3C37">
        <w:rPr>
          <w:color w:val="000000" w:themeColor="text1"/>
        </w:rPr>
        <w:t>against</w:t>
      </w:r>
      <w:r w:rsidRPr="009F3C37">
        <w:rPr>
          <w:color w:val="000000" w:themeColor="text1"/>
        </w:rPr>
        <w:t xml:space="preserve"> legislative majorities</w:t>
      </w:r>
      <w:r w:rsidR="00DB6BF7" w:rsidRPr="009F3C37">
        <w:rPr>
          <w:color w:val="000000" w:themeColor="text1"/>
        </w:rPr>
        <w:t>.</w:t>
      </w:r>
      <w:r w:rsidR="002D0745" w:rsidRPr="009F3C37">
        <w:rPr>
          <w:color w:val="000000" w:themeColor="text1"/>
        </w:rPr>
        <w:t xml:space="preserve"> </w:t>
      </w:r>
      <w:r w:rsidR="001E4E7D" w:rsidRPr="009F3C37">
        <w:rPr>
          <w:color w:val="000000" w:themeColor="text1"/>
        </w:rPr>
        <w:t>Unlike the federal constitution</w:t>
      </w:r>
      <w:r w:rsidR="00DB6BF7" w:rsidRPr="009F3C37">
        <w:rPr>
          <w:color w:val="000000" w:themeColor="text1"/>
        </w:rPr>
        <w:t xml:space="preserve">, </w:t>
      </w:r>
      <w:r w:rsidR="001E4E7D" w:rsidRPr="009F3C37">
        <w:rPr>
          <w:color w:val="000000" w:themeColor="text1"/>
        </w:rPr>
        <w:t>state constitutions</w:t>
      </w:r>
      <w:r w:rsidR="00EB52A8" w:rsidRPr="009F3C37">
        <w:rPr>
          <w:color w:val="000000" w:themeColor="text1"/>
        </w:rPr>
        <w:t xml:space="preserve"> </w:t>
      </w:r>
      <w:r w:rsidR="001E4E7D" w:rsidRPr="009F3C37">
        <w:rPr>
          <w:color w:val="000000" w:themeColor="text1"/>
        </w:rPr>
        <w:t>“</w:t>
      </w:r>
      <w:r w:rsidR="00EB52A8" w:rsidRPr="009F3C37">
        <w:rPr>
          <w:color w:val="000000" w:themeColor="text1"/>
        </w:rPr>
        <w:t>have been amended to empower other actors—including state courts—</w:t>
      </w:r>
      <w:r w:rsidR="00EB52A8" w:rsidRPr="009F3C37">
        <w:rPr>
          <w:color w:val="000000" w:themeColor="text1"/>
        </w:rPr>
        <w:lastRenderedPageBreak/>
        <w:t>to act as popular checks on the legislature</w:t>
      </w:r>
      <w:r w:rsidR="00DB6BF7" w:rsidRPr="009F3C37">
        <w:rPr>
          <w:color w:val="000000" w:themeColor="text1"/>
        </w:rPr>
        <w:t>.” Miriam Seifter &amp; Jessica Bulman-Pozen “State Constitutional Rights and Democratic Proportionality,” 123 Colum. L. Rev. 1855, 1904 (2023)</w:t>
      </w:r>
      <w:r w:rsidR="000E1066" w:rsidRPr="009F3C37">
        <w:rPr>
          <w:color w:val="000000" w:themeColor="text1"/>
        </w:rPr>
        <w:t xml:space="preserve"> </w:t>
      </w:r>
      <w:r w:rsidR="00903214" w:rsidRPr="009F3C37">
        <w:rPr>
          <w:color w:val="000000" w:themeColor="text1"/>
        </w:rPr>
        <w:t xml:space="preserve">(identifying </w:t>
      </w:r>
      <w:r w:rsidR="00EB52A8" w:rsidRPr="009F3C37">
        <w:rPr>
          <w:color w:val="000000" w:themeColor="text1"/>
        </w:rPr>
        <w:t>“</w:t>
      </w:r>
      <w:r w:rsidR="00903214" w:rsidRPr="009F3C37">
        <w:rPr>
          <w:color w:val="000000" w:themeColor="text1"/>
        </w:rPr>
        <w:t>s</w:t>
      </w:r>
      <w:r w:rsidR="00EB52A8" w:rsidRPr="009F3C37">
        <w:rPr>
          <w:color w:val="000000" w:themeColor="text1"/>
        </w:rPr>
        <w:t xml:space="preserve">kepticism of legislative power” </w:t>
      </w:r>
      <w:r w:rsidR="00903214" w:rsidRPr="009F3C37">
        <w:rPr>
          <w:color w:val="000000" w:themeColor="text1"/>
        </w:rPr>
        <w:t>as one of</w:t>
      </w:r>
      <w:r w:rsidR="00DB4B41" w:rsidRPr="009F3C37">
        <w:rPr>
          <w:color w:val="000000" w:themeColor="text1"/>
        </w:rPr>
        <w:t xml:space="preserve"> </w:t>
      </w:r>
      <w:r w:rsidR="00B80E33" w:rsidRPr="009F3C37">
        <w:rPr>
          <w:color w:val="000000" w:themeColor="text1"/>
        </w:rPr>
        <w:t>“‘</w:t>
      </w:r>
      <w:r w:rsidR="00DB4B41" w:rsidRPr="009F3C37">
        <w:rPr>
          <w:color w:val="000000" w:themeColor="text1"/>
        </w:rPr>
        <w:t>the most important themes of state constitutional law.</w:t>
      </w:r>
      <w:r w:rsidR="00B80E33" w:rsidRPr="009F3C37">
        <w:rPr>
          <w:color w:val="000000" w:themeColor="text1"/>
        </w:rPr>
        <w:t>’”</w:t>
      </w:r>
      <w:r w:rsidR="00DB4B41" w:rsidRPr="009F3C37">
        <w:rPr>
          <w:color w:val="000000" w:themeColor="text1"/>
        </w:rPr>
        <w:t xml:space="preserve"> </w:t>
      </w:r>
      <w:r w:rsidR="00841796" w:rsidRPr="009F3C37">
        <w:rPr>
          <w:color w:val="000000" w:themeColor="text1"/>
        </w:rPr>
        <w:t>(</w:t>
      </w:r>
      <w:r w:rsidR="00B80E33" w:rsidRPr="009F3C37">
        <w:rPr>
          <w:color w:val="000000" w:themeColor="text1"/>
        </w:rPr>
        <w:t xml:space="preserve">quoting </w:t>
      </w:r>
      <w:r w:rsidR="00903214" w:rsidRPr="009F3C37">
        <w:rPr>
          <w:color w:val="000000" w:themeColor="text1"/>
        </w:rPr>
        <w:t>Robert F. Williams, State Constitutional Law Processes, 24 Wm. &amp; Mary L. Rev. 169, 201 (1983)</w:t>
      </w:r>
      <w:r w:rsidR="00841796" w:rsidRPr="009F3C37">
        <w:rPr>
          <w:color w:val="000000" w:themeColor="text1"/>
        </w:rPr>
        <w:t>)</w:t>
      </w:r>
      <w:r w:rsidR="00903214" w:rsidRPr="009F3C37">
        <w:rPr>
          <w:color w:val="000000" w:themeColor="text1"/>
        </w:rPr>
        <w:t xml:space="preserve">). </w:t>
      </w:r>
      <w:r w:rsidR="002442D3" w:rsidRPr="009F3C37">
        <w:rPr>
          <w:iCs/>
          <w:color w:val="000000" w:themeColor="text1"/>
        </w:rPr>
        <w:t>North Dakota is no exception</w:t>
      </w:r>
      <w:r w:rsidR="00090E75" w:rsidRPr="009F3C37">
        <w:rPr>
          <w:iCs/>
          <w:color w:val="000000" w:themeColor="text1"/>
        </w:rPr>
        <w:t xml:space="preserve">. </w:t>
      </w:r>
      <w:r w:rsidR="000C3735" w:rsidRPr="009F3C37">
        <w:rPr>
          <w:i/>
          <w:color w:val="000000" w:themeColor="text1"/>
        </w:rPr>
        <w:t xml:space="preserve">See </w:t>
      </w:r>
      <w:r w:rsidR="004E526B">
        <w:rPr>
          <w:i/>
          <w:color w:val="000000" w:themeColor="text1"/>
        </w:rPr>
        <w:t xml:space="preserve">generally </w:t>
      </w:r>
      <w:r w:rsidR="00D9227D" w:rsidRPr="009F3C37">
        <w:rPr>
          <w:iCs/>
          <w:color w:val="000000" w:themeColor="text1"/>
        </w:rPr>
        <w:t xml:space="preserve">W. Logan Caldwell, “Constitutional Law – </w:t>
      </w:r>
      <w:r w:rsidR="009B7637" w:rsidRPr="009F3C37">
        <w:rPr>
          <w:iCs/>
          <w:color w:val="000000" w:themeColor="text1"/>
        </w:rPr>
        <w:t xml:space="preserve">The History of the Initiated Measure in North Dakota: Removing the People’s Power or Watching for the Wolf in Sheep’s Clothing?,” </w:t>
      </w:r>
      <w:r w:rsidR="00482B0E" w:rsidRPr="009F3C37">
        <w:rPr>
          <w:iCs/>
          <w:color w:val="000000" w:themeColor="text1"/>
        </w:rPr>
        <w:t>97 North Dakota L. Rev. 217</w:t>
      </w:r>
      <w:r w:rsidR="00CF3354" w:rsidRPr="009F3C37">
        <w:rPr>
          <w:iCs/>
          <w:color w:val="000000" w:themeColor="text1"/>
        </w:rPr>
        <w:t>, 223</w:t>
      </w:r>
      <w:r w:rsidR="00482B0E" w:rsidRPr="009F3C37">
        <w:rPr>
          <w:iCs/>
          <w:color w:val="000000" w:themeColor="text1"/>
        </w:rPr>
        <w:t xml:space="preserve"> (2022) (</w:t>
      </w:r>
      <w:r w:rsidR="00CF3354" w:rsidRPr="009F3C37">
        <w:rPr>
          <w:iCs/>
          <w:color w:val="000000" w:themeColor="text1"/>
        </w:rPr>
        <w:t xml:space="preserve">noting </w:t>
      </w:r>
      <w:r w:rsidR="003D1C9B">
        <w:rPr>
          <w:iCs/>
          <w:color w:val="000000" w:themeColor="text1"/>
        </w:rPr>
        <w:t>“</w:t>
      </w:r>
      <w:r w:rsidR="00084F92" w:rsidRPr="009F3C37">
        <w:rPr>
          <w:iCs/>
          <w:color w:val="000000" w:themeColor="text1"/>
        </w:rPr>
        <w:t>eliminat</w:t>
      </w:r>
      <w:r w:rsidR="003D1C9B">
        <w:rPr>
          <w:iCs/>
          <w:color w:val="000000" w:themeColor="text1"/>
        </w:rPr>
        <w:t>[ion] of</w:t>
      </w:r>
      <w:r w:rsidR="00084F92" w:rsidRPr="009F3C37">
        <w:rPr>
          <w:iCs/>
          <w:color w:val="000000" w:themeColor="text1"/>
        </w:rPr>
        <w:t xml:space="preserve"> Legislative oversight over the North Dakota Constitution</w:t>
      </w:r>
      <w:r w:rsidR="00B52BAB">
        <w:rPr>
          <w:iCs/>
          <w:color w:val="000000" w:themeColor="text1"/>
        </w:rPr>
        <w:t>”</w:t>
      </w:r>
      <w:r w:rsidR="003D1C9B">
        <w:rPr>
          <w:iCs/>
          <w:color w:val="000000" w:themeColor="text1"/>
        </w:rPr>
        <w:t xml:space="preserve"> as a </w:t>
      </w:r>
      <w:r w:rsidR="00B52BAB">
        <w:rPr>
          <w:iCs/>
          <w:color w:val="000000" w:themeColor="text1"/>
        </w:rPr>
        <w:t xml:space="preserve">theme of </w:t>
      </w:r>
      <w:r w:rsidR="003D1C9B">
        <w:rPr>
          <w:iCs/>
          <w:color w:val="000000" w:themeColor="text1"/>
        </w:rPr>
        <w:t>North Dakota constitutional history.</w:t>
      </w:r>
      <w:r w:rsidR="00084F92" w:rsidRPr="009F3C37">
        <w:rPr>
          <w:iCs/>
          <w:color w:val="000000" w:themeColor="text1"/>
        </w:rPr>
        <w:t>)</w:t>
      </w:r>
      <w:r w:rsidR="00550680" w:rsidRPr="009F3C37">
        <w:rPr>
          <w:iCs/>
          <w:color w:val="000000" w:themeColor="text1"/>
        </w:rPr>
        <w:t xml:space="preserve"> </w:t>
      </w:r>
      <w:r w:rsidR="00347C14" w:rsidRPr="009F3C37">
        <w:rPr>
          <w:iCs/>
          <w:color w:val="000000" w:themeColor="text1"/>
        </w:rPr>
        <w:t xml:space="preserve">By tethering state </w:t>
      </w:r>
      <w:r w:rsidR="00A71FCB" w:rsidRPr="009F3C37">
        <w:rPr>
          <w:iCs/>
          <w:color w:val="000000" w:themeColor="text1"/>
        </w:rPr>
        <w:t>constitutional</w:t>
      </w:r>
      <w:r w:rsidR="00347C14" w:rsidRPr="009F3C37">
        <w:rPr>
          <w:iCs/>
          <w:color w:val="000000" w:themeColor="text1"/>
        </w:rPr>
        <w:t xml:space="preserve"> </w:t>
      </w:r>
      <w:r w:rsidR="004B1E1C" w:rsidRPr="009F3C37">
        <w:rPr>
          <w:iCs/>
          <w:color w:val="000000" w:themeColor="text1"/>
        </w:rPr>
        <w:t xml:space="preserve">protections </w:t>
      </w:r>
      <w:r w:rsidR="00347C14" w:rsidRPr="009F3C37">
        <w:rPr>
          <w:iCs/>
          <w:color w:val="000000" w:themeColor="text1"/>
        </w:rPr>
        <w:t xml:space="preserve">to underenforced federal </w:t>
      </w:r>
      <w:r w:rsidR="004B1E1C" w:rsidRPr="009F3C37">
        <w:rPr>
          <w:iCs/>
          <w:color w:val="000000" w:themeColor="text1"/>
        </w:rPr>
        <w:t>rights</w:t>
      </w:r>
      <w:r w:rsidR="00347C14" w:rsidRPr="009F3C37">
        <w:rPr>
          <w:iCs/>
          <w:color w:val="000000" w:themeColor="text1"/>
        </w:rPr>
        <w:t>, p</w:t>
      </w:r>
      <w:r w:rsidR="00F945A5" w:rsidRPr="009F3C37">
        <w:rPr>
          <w:iCs/>
          <w:color w:val="000000" w:themeColor="text1"/>
        </w:rPr>
        <w:t>resumptive</w:t>
      </w:r>
      <w:r w:rsidR="00347C14" w:rsidRPr="009F3C37">
        <w:rPr>
          <w:iCs/>
          <w:color w:val="000000" w:themeColor="text1"/>
        </w:rPr>
        <w:t xml:space="preserve"> alignment</w:t>
      </w:r>
      <w:r w:rsidR="00F945A5" w:rsidRPr="009F3C37">
        <w:rPr>
          <w:iCs/>
          <w:color w:val="000000" w:themeColor="text1"/>
        </w:rPr>
        <w:t xml:space="preserve"> </w:t>
      </w:r>
      <w:r w:rsidR="00347C14" w:rsidRPr="009F3C37">
        <w:rPr>
          <w:iCs/>
          <w:color w:val="000000" w:themeColor="text1"/>
        </w:rPr>
        <w:t xml:space="preserve">overlooks this </w:t>
      </w:r>
      <w:r w:rsidR="004B1E1C" w:rsidRPr="009F3C37">
        <w:rPr>
          <w:iCs/>
          <w:color w:val="000000" w:themeColor="text1"/>
        </w:rPr>
        <w:t xml:space="preserve">key </w:t>
      </w:r>
      <w:r w:rsidR="00347C14" w:rsidRPr="009F3C37">
        <w:rPr>
          <w:iCs/>
          <w:color w:val="000000" w:themeColor="text1"/>
        </w:rPr>
        <w:t>principle of state constitutions.</w:t>
      </w:r>
    </w:p>
    <w:p w14:paraId="7F97154E" w14:textId="0BE362C9" w:rsidR="00571453" w:rsidRPr="009F3C37" w:rsidRDefault="008562A0" w:rsidP="008E7135">
      <w:pPr>
        <w:spacing w:line="480" w:lineRule="auto"/>
        <w:ind w:firstLine="720"/>
        <w:jc w:val="both"/>
        <w:rPr>
          <w:color w:val="000000" w:themeColor="text1"/>
        </w:rPr>
      </w:pPr>
      <w:r w:rsidRPr="009F3C37">
        <w:rPr>
          <w:color w:val="000000" w:themeColor="text1"/>
        </w:rPr>
        <w:t>Relatedly, f</w:t>
      </w:r>
      <w:r w:rsidR="00BA6B41" w:rsidRPr="009F3C37">
        <w:rPr>
          <w:color w:val="000000" w:themeColor="text1"/>
        </w:rPr>
        <w:t>ederal judges</w:t>
      </w:r>
      <w:r w:rsidR="00476B91" w:rsidRPr="009F3C37">
        <w:rPr>
          <w:color w:val="000000" w:themeColor="text1"/>
        </w:rPr>
        <w:t xml:space="preserve"> </w:t>
      </w:r>
      <w:r w:rsidR="00342482" w:rsidRPr="009F3C37">
        <w:rPr>
          <w:color w:val="000000" w:themeColor="text1"/>
        </w:rPr>
        <w:t xml:space="preserve">also </w:t>
      </w:r>
      <w:r w:rsidR="00E446EF">
        <w:rPr>
          <w:color w:val="000000" w:themeColor="text1"/>
        </w:rPr>
        <w:t>“</w:t>
      </w:r>
      <w:r w:rsidR="00885ADA">
        <w:rPr>
          <w:color w:val="000000" w:themeColor="text1"/>
        </w:rPr>
        <w:t>underenforce</w:t>
      </w:r>
      <w:r w:rsidR="00E446EF">
        <w:rPr>
          <w:color w:val="000000" w:themeColor="text1"/>
        </w:rPr>
        <w:t>”</w:t>
      </w:r>
      <w:r w:rsidR="00885ADA">
        <w:rPr>
          <w:color w:val="000000" w:themeColor="text1"/>
        </w:rPr>
        <w:t xml:space="preserve"> constitutional</w:t>
      </w:r>
      <w:r w:rsidR="00C80410">
        <w:rPr>
          <w:color w:val="000000" w:themeColor="text1"/>
        </w:rPr>
        <w:t xml:space="preserve"> rights </w:t>
      </w:r>
      <w:r w:rsidR="00167F40" w:rsidRPr="009F3C37">
        <w:rPr>
          <w:color w:val="000000" w:themeColor="text1"/>
        </w:rPr>
        <w:t xml:space="preserve">because </w:t>
      </w:r>
      <w:r w:rsidR="00661661" w:rsidRPr="009F3C37">
        <w:rPr>
          <w:color w:val="000000" w:themeColor="text1"/>
        </w:rPr>
        <w:t>it is difficult to correct</w:t>
      </w:r>
      <w:r w:rsidR="00285218" w:rsidRPr="009F3C37">
        <w:rPr>
          <w:color w:val="000000" w:themeColor="text1"/>
        </w:rPr>
        <w:t xml:space="preserve"> erroneous constitutional rulings </w:t>
      </w:r>
      <w:r w:rsidR="00661661" w:rsidRPr="009F3C37">
        <w:rPr>
          <w:color w:val="000000" w:themeColor="text1"/>
        </w:rPr>
        <w:t>via</w:t>
      </w:r>
      <w:r w:rsidR="00285218" w:rsidRPr="009F3C37">
        <w:rPr>
          <w:color w:val="000000" w:themeColor="text1"/>
        </w:rPr>
        <w:t xml:space="preserve"> the federal amendment process.</w:t>
      </w:r>
      <w:r w:rsidR="00167F40" w:rsidRPr="009F3C37">
        <w:rPr>
          <w:color w:val="000000" w:themeColor="text1"/>
        </w:rPr>
        <w:t xml:space="preserve"> </w:t>
      </w:r>
      <w:r w:rsidR="000E1418" w:rsidRPr="009F3C37">
        <w:rPr>
          <w:color w:val="000000" w:themeColor="text1"/>
        </w:rPr>
        <w:t>But “[t]</w:t>
      </w:r>
      <w:r w:rsidR="009D7C1F" w:rsidRPr="009F3C37">
        <w:rPr>
          <w:color w:val="000000" w:themeColor="text1"/>
        </w:rPr>
        <w:t>he “</w:t>
      </w:r>
      <w:r w:rsidR="00F914AD" w:rsidRPr="009F3C37">
        <w:rPr>
          <w:color w:val="000000" w:themeColor="text1"/>
        </w:rPr>
        <w:t>political accountability risks facing the federal courts when it comes to the development of new right</w:t>
      </w:r>
      <w:r w:rsidR="00AB316E" w:rsidRPr="009F3C37">
        <w:rPr>
          <w:color w:val="000000" w:themeColor="text1"/>
        </w:rPr>
        <w:t>s</w:t>
      </w:r>
      <w:r w:rsidR="00D8067B" w:rsidRPr="009F3C37">
        <w:rPr>
          <w:color w:val="000000" w:themeColor="text1"/>
        </w:rPr>
        <w:t xml:space="preserve"> </w:t>
      </w:r>
      <w:r w:rsidR="009D7C1F" w:rsidRPr="009F3C37">
        <w:rPr>
          <w:color w:val="000000" w:themeColor="text1"/>
        </w:rPr>
        <w:t>does not apply in the states. S</w:t>
      </w:r>
      <w:r w:rsidR="00F914AD" w:rsidRPr="009F3C37">
        <w:rPr>
          <w:color w:val="000000" w:themeColor="text1"/>
        </w:rPr>
        <w:t xml:space="preserve">tate constitutions are more readily amendable.” </w:t>
      </w:r>
      <w:r w:rsidR="00C0779E" w:rsidRPr="009F3C37">
        <w:rPr>
          <w:color w:val="000000" w:themeColor="text1"/>
        </w:rPr>
        <w:t xml:space="preserve">Hon. </w:t>
      </w:r>
      <w:r w:rsidR="00F914AD" w:rsidRPr="009F3C37">
        <w:rPr>
          <w:color w:val="000000" w:themeColor="text1"/>
        </w:rPr>
        <w:t>Jeffrey S. Sutton, “What Should Be National and What Should Be Local in American Judicial Review,” 2022 Sup. Ct. Rev. 191, 213 (2022</w:t>
      </w:r>
      <w:r w:rsidR="00704A71" w:rsidRPr="009F3C37">
        <w:rPr>
          <w:color w:val="000000" w:themeColor="text1"/>
        </w:rPr>
        <w:t>)</w:t>
      </w:r>
      <w:r w:rsidR="00751CAC" w:rsidRPr="009F3C37">
        <w:rPr>
          <w:color w:val="000000" w:themeColor="text1"/>
        </w:rPr>
        <w:t>.</w:t>
      </w:r>
    </w:p>
    <w:p w14:paraId="662AC35F" w14:textId="5BAC99AB" w:rsidR="00D81C2C" w:rsidRPr="009F3C37" w:rsidRDefault="005F110E" w:rsidP="008E3541">
      <w:pPr>
        <w:spacing w:line="480" w:lineRule="auto"/>
        <w:ind w:firstLine="720"/>
        <w:jc w:val="both"/>
        <w:rPr>
          <w:color w:val="000000" w:themeColor="text1"/>
        </w:rPr>
      </w:pPr>
      <w:r w:rsidRPr="009F3C37">
        <w:rPr>
          <w:color w:val="000000" w:themeColor="text1"/>
        </w:rPr>
        <w:t>Federal constitutional</w:t>
      </w:r>
      <w:r w:rsidR="00D81C2C" w:rsidRPr="009F3C37">
        <w:rPr>
          <w:color w:val="000000" w:themeColor="text1"/>
        </w:rPr>
        <w:t xml:space="preserve"> underenforcement is especially pronounced in the equal protection context, where</w:t>
      </w:r>
      <w:r w:rsidR="00F64109" w:rsidRPr="009F3C37">
        <w:rPr>
          <w:color w:val="000000" w:themeColor="text1"/>
        </w:rPr>
        <w:t xml:space="preserve"> the U.S.</w:t>
      </w:r>
      <w:r w:rsidR="00D81C2C" w:rsidRPr="009F3C37">
        <w:rPr>
          <w:color w:val="000000" w:themeColor="text1"/>
        </w:rPr>
        <w:t xml:space="preserve"> </w:t>
      </w:r>
      <w:r w:rsidR="00F64109" w:rsidRPr="009F3C37">
        <w:rPr>
          <w:color w:val="000000" w:themeColor="text1"/>
        </w:rPr>
        <w:t>Supreme C</w:t>
      </w:r>
      <w:r w:rsidR="00D81C2C" w:rsidRPr="009F3C37">
        <w:rPr>
          <w:color w:val="000000" w:themeColor="text1"/>
        </w:rPr>
        <w:t xml:space="preserve">ourt </w:t>
      </w:r>
      <w:r w:rsidR="004F31D8" w:rsidRPr="009F3C37">
        <w:rPr>
          <w:color w:val="000000" w:themeColor="text1"/>
        </w:rPr>
        <w:t xml:space="preserve">has </w:t>
      </w:r>
      <w:r w:rsidR="006B765A" w:rsidRPr="009F3C37">
        <w:rPr>
          <w:color w:val="000000" w:themeColor="text1"/>
        </w:rPr>
        <w:t xml:space="preserve">chosen to act with restraint in recognition of both state </w:t>
      </w:r>
      <w:r w:rsidR="009E76CA" w:rsidRPr="009F3C37">
        <w:rPr>
          <w:color w:val="000000" w:themeColor="text1"/>
        </w:rPr>
        <w:t>prerogatives</w:t>
      </w:r>
      <w:r w:rsidR="006B765A" w:rsidRPr="009F3C37">
        <w:rPr>
          <w:color w:val="000000" w:themeColor="text1"/>
        </w:rPr>
        <w:t xml:space="preserve"> and the </w:t>
      </w:r>
      <w:r w:rsidR="00CA50C8" w:rsidRPr="009F3C37">
        <w:rPr>
          <w:color w:val="000000" w:themeColor="text1"/>
        </w:rPr>
        <w:t>potentially seismic</w:t>
      </w:r>
      <w:r w:rsidR="009E76CA" w:rsidRPr="009F3C37">
        <w:rPr>
          <w:color w:val="000000" w:themeColor="text1"/>
        </w:rPr>
        <w:t xml:space="preserve"> </w:t>
      </w:r>
      <w:r w:rsidR="00CA50C8" w:rsidRPr="009F3C37">
        <w:rPr>
          <w:color w:val="000000" w:themeColor="text1"/>
        </w:rPr>
        <w:t xml:space="preserve">impact of changes </w:t>
      </w:r>
      <w:r w:rsidR="009E76CA" w:rsidRPr="009F3C37">
        <w:rPr>
          <w:color w:val="000000" w:themeColor="text1"/>
        </w:rPr>
        <w:t>in Equal Protection jurisprudence</w:t>
      </w:r>
      <w:r w:rsidR="00CA50C8" w:rsidRPr="009F3C37">
        <w:rPr>
          <w:color w:val="000000" w:themeColor="text1"/>
        </w:rPr>
        <w:t xml:space="preserve"> on our federalist system.</w:t>
      </w:r>
      <w:r w:rsidR="00124FA4" w:rsidRPr="009F3C37">
        <w:rPr>
          <w:color w:val="000000" w:themeColor="text1"/>
        </w:rPr>
        <w:t xml:space="preserve"> </w:t>
      </w:r>
      <w:r w:rsidR="00D81C2C" w:rsidRPr="009F3C37">
        <w:rPr>
          <w:i/>
          <w:iCs/>
          <w:color w:val="000000" w:themeColor="text1"/>
        </w:rPr>
        <w:t xml:space="preserve">See </w:t>
      </w:r>
      <w:r w:rsidR="00D81C2C" w:rsidRPr="009F3C37">
        <w:rPr>
          <w:color w:val="000000" w:themeColor="text1"/>
        </w:rPr>
        <w:t xml:space="preserve">Lawrence Gene Sager, “Fair Measure: The Legal Status of Underenforced Constitutional Norms,” 91 Harv. L. Rev. 1212, 1213–18 (1978). For instance, in </w:t>
      </w:r>
      <w:r w:rsidR="00D81C2C" w:rsidRPr="009F3C37">
        <w:rPr>
          <w:i/>
          <w:iCs/>
          <w:color w:val="000000" w:themeColor="text1"/>
        </w:rPr>
        <w:t xml:space="preserve">San Antonio Independent School District v. </w:t>
      </w:r>
      <w:r w:rsidR="00D81C2C" w:rsidRPr="009F3C37">
        <w:rPr>
          <w:i/>
          <w:iCs/>
          <w:color w:val="000000" w:themeColor="text1"/>
        </w:rPr>
        <w:lastRenderedPageBreak/>
        <w:t>Rodriguez</w:t>
      </w:r>
      <w:r w:rsidR="00D81C2C" w:rsidRPr="009F3C37">
        <w:rPr>
          <w:color w:val="000000" w:themeColor="text1"/>
        </w:rPr>
        <w:t xml:space="preserve">, the </w:t>
      </w:r>
      <w:r w:rsidR="00D73526" w:rsidRPr="009F3C37">
        <w:rPr>
          <w:color w:val="000000" w:themeColor="text1"/>
        </w:rPr>
        <w:t xml:space="preserve">U.S. Supreme </w:t>
      </w:r>
      <w:r w:rsidR="00D81C2C" w:rsidRPr="009F3C37">
        <w:rPr>
          <w:color w:val="000000" w:themeColor="text1"/>
        </w:rPr>
        <w:t xml:space="preserve">Court </w:t>
      </w:r>
      <w:r w:rsidR="00D71C70" w:rsidRPr="009F3C37">
        <w:rPr>
          <w:color w:val="000000" w:themeColor="text1"/>
        </w:rPr>
        <w:t xml:space="preserve">declined </w:t>
      </w:r>
      <w:r w:rsidR="00F64109" w:rsidRPr="009F3C37">
        <w:rPr>
          <w:color w:val="000000" w:themeColor="text1"/>
        </w:rPr>
        <w:t xml:space="preserve">to not recognize wealth as a suspect class </w:t>
      </w:r>
      <w:r w:rsidR="001120CE" w:rsidRPr="009F3C37">
        <w:rPr>
          <w:color w:val="000000" w:themeColor="text1"/>
        </w:rPr>
        <w:t>not only because</w:t>
      </w:r>
      <w:r w:rsidR="00F64109" w:rsidRPr="009F3C37">
        <w:rPr>
          <w:color w:val="000000" w:themeColor="text1"/>
        </w:rPr>
        <w:t xml:space="preserve"> </w:t>
      </w:r>
      <w:r w:rsidR="00825070" w:rsidRPr="009F3C37">
        <w:rPr>
          <w:color w:val="000000" w:themeColor="text1"/>
        </w:rPr>
        <w:t xml:space="preserve">it </w:t>
      </w:r>
      <w:r w:rsidR="00D81C2C" w:rsidRPr="009F3C37">
        <w:rPr>
          <w:color w:val="000000" w:themeColor="text1"/>
        </w:rPr>
        <w:t>lack</w:t>
      </w:r>
      <w:r w:rsidR="00825070" w:rsidRPr="009F3C37">
        <w:rPr>
          <w:color w:val="000000" w:themeColor="text1"/>
        </w:rPr>
        <w:t>ed</w:t>
      </w:r>
      <w:r w:rsidR="00D81C2C" w:rsidRPr="009F3C37">
        <w:rPr>
          <w:color w:val="000000" w:themeColor="text1"/>
        </w:rPr>
        <w:t xml:space="preserve"> expertise in </w:t>
      </w:r>
      <w:r w:rsidR="00774DEC" w:rsidRPr="009F3C37">
        <w:rPr>
          <w:color w:val="000000" w:themeColor="text1"/>
        </w:rPr>
        <w:t xml:space="preserve">areas traditionally regulated by the states </w:t>
      </w:r>
      <w:r w:rsidR="009E76CA" w:rsidRPr="009F3C37">
        <w:rPr>
          <w:color w:val="000000" w:themeColor="text1"/>
        </w:rPr>
        <w:t xml:space="preserve">but also out of recognition that </w:t>
      </w:r>
      <w:r w:rsidR="008E3541" w:rsidRPr="009F3C37">
        <w:rPr>
          <w:color w:val="000000" w:themeColor="text1"/>
        </w:rPr>
        <w:t xml:space="preserve">“[e]very claim arising under the Equal Protection Clause has implications for the relationship between national and state power under our federal system” and thus the potential “to abrogate systems . . . in virtually every State.” </w:t>
      </w:r>
      <w:r w:rsidR="00F64109" w:rsidRPr="009F3C37">
        <w:rPr>
          <w:color w:val="000000" w:themeColor="text1"/>
        </w:rPr>
        <w:t xml:space="preserve">411 U.S. 1, 44 (1973). </w:t>
      </w:r>
      <w:r w:rsidR="00DE05FA" w:rsidRPr="009F3C37">
        <w:rPr>
          <w:i/>
          <w:iCs/>
          <w:color w:val="000000" w:themeColor="text1"/>
        </w:rPr>
        <w:t>See United States v. Skrmetti</w:t>
      </w:r>
      <w:r w:rsidR="00DE05FA" w:rsidRPr="009F3C37">
        <w:rPr>
          <w:color w:val="000000" w:themeColor="text1"/>
        </w:rPr>
        <w:t xml:space="preserve">, 605 U.S. 495, 550 (Barrett, J., concurring) (noting that the U.S. Supreme Court’s “restraint” in identifying new suspect classes reflects the principle that </w:t>
      </w:r>
      <w:r w:rsidR="00B4450F">
        <w:rPr>
          <w:color w:val="000000" w:themeColor="text1"/>
        </w:rPr>
        <w:t>“</w:t>
      </w:r>
      <w:r w:rsidR="00DE05FA" w:rsidRPr="009F3C37">
        <w:rPr>
          <w:color w:val="000000" w:themeColor="text1"/>
        </w:rPr>
        <w:t>when social or economic legislation is at issue, the Equal Protection Clause allows the States wide latitude.” (quotations, citations, and brackets omitted)).</w:t>
      </w:r>
      <w:r w:rsidR="00DE05FA">
        <w:rPr>
          <w:color w:val="000000" w:themeColor="text1"/>
        </w:rPr>
        <w:t xml:space="preserve"> </w:t>
      </w:r>
      <w:r w:rsidR="00CF524E">
        <w:rPr>
          <w:color w:val="000000" w:themeColor="text1"/>
        </w:rPr>
        <w:t xml:space="preserve">More rigorous enforcement of state constitutional protections </w:t>
      </w:r>
      <w:r w:rsidR="00477862" w:rsidRPr="009F3C37">
        <w:rPr>
          <w:color w:val="000000" w:themeColor="text1"/>
        </w:rPr>
        <w:t>does not implicate these concerns.</w:t>
      </w:r>
    </w:p>
    <w:p w14:paraId="0DDECB6A" w14:textId="76C7FC8D" w:rsidR="006231BA" w:rsidRPr="009F3C37" w:rsidRDefault="00AA0C18" w:rsidP="00AB440A">
      <w:pPr>
        <w:pStyle w:val="Heading2"/>
        <w:numPr>
          <w:ilvl w:val="1"/>
          <w:numId w:val="20"/>
        </w:numPr>
        <w:spacing w:before="0" w:after="0" w:line="480" w:lineRule="auto"/>
        <w:jc w:val="both"/>
        <w:rPr>
          <w:rFonts w:ascii="Times New Roman" w:hAnsi="Times New Roman" w:cs="Times New Roman"/>
          <w:b/>
          <w:bCs/>
          <w:color w:val="000000" w:themeColor="text1"/>
          <w:sz w:val="24"/>
          <w:szCs w:val="24"/>
          <w:u w:val="single"/>
        </w:rPr>
      </w:pPr>
      <w:bookmarkStart w:id="45" w:name="_Toc225437086"/>
      <w:bookmarkStart w:id="46" w:name="_Toc225437176"/>
      <w:bookmarkStart w:id="47" w:name="_Toc225437225"/>
      <w:bookmarkStart w:id="48" w:name="_Toc225438120"/>
      <w:bookmarkStart w:id="49" w:name="_Toc225438323"/>
      <w:bookmarkStart w:id="50" w:name="_Toc225438413"/>
      <w:bookmarkStart w:id="51" w:name="_Toc225438476"/>
      <w:bookmarkStart w:id="52" w:name="_Toc225438591"/>
      <w:bookmarkStart w:id="53" w:name="_Toc225440598"/>
      <w:bookmarkStart w:id="54" w:name="_Toc225513392"/>
      <w:bookmarkStart w:id="55" w:name="_Toc225513449"/>
      <w:bookmarkStart w:id="56" w:name="_Toc225513508"/>
      <w:bookmarkStart w:id="57" w:name="_Toc225513551"/>
      <w:bookmarkStart w:id="58" w:name="_Toc224825656"/>
      <w:bookmarkStart w:id="59" w:name="_Toc224825657"/>
      <w:bookmarkStart w:id="60" w:name="_Toc224825658"/>
      <w:bookmarkStart w:id="61" w:name="_Toc224825659"/>
      <w:bookmarkStart w:id="62" w:name="_Toc22551355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9F3C37">
        <w:rPr>
          <w:rFonts w:ascii="Times New Roman" w:hAnsi="Times New Roman" w:cs="Times New Roman"/>
          <w:b/>
          <w:bCs/>
          <w:color w:val="000000" w:themeColor="text1"/>
          <w:sz w:val="24"/>
          <w:szCs w:val="24"/>
          <w:u w:val="single"/>
        </w:rPr>
        <w:t xml:space="preserve">Independent State Constitutional </w:t>
      </w:r>
      <w:r w:rsidR="00004BA4" w:rsidRPr="009F3C37">
        <w:rPr>
          <w:rFonts w:ascii="Times New Roman" w:hAnsi="Times New Roman" w:cs="Times New Roman"/>
          <w:b/>
          <w:bCs/>
          <w:color w:val="000000" w:themeColor="text1"/>
          <w:sz w:val="24"/>
          <w:szCs w:val="24"/>
          <w:u w:val="single"/>
        </w:rPr>
        <w:t xml:space="preserve">Interpretation </w:t>
      </w:r>
      <w:r w:rsidRPr="009F3C37">
        <w:rPr>
          <w:rFonts w:ascii="Times New Roman" w:hAnsi="Times New Roman" w:cs="Times New Roman"/>
          <w:b/>
          <w:bCs/>
          <w:color w:val="000000" w:themeColor="text1"/>
          <w:sz w:val="24"/>
          <w:szCs w:val="24"/>
          <w:u w:val="single"/>
        </w:rPr>
        <w:t xml:space="preserve">Preserves </w:t>
      </w:r>
      <w:r w:rsidR="0071744E" w:rsidRPr="009F3C37">
        <w:rPr>
          <w:rFonts w:ascii="Times New Roman" w:hAnsi="Times New Roman" w:cs="Times New Roman"/>
          <w:b/>
          <w:bCs/>
          <w:color w:val="000000" w:themeColor="text1"/>
          <w:sz w:val="24"/>
          <w:szCs w:val="24"/>
          <w:u w:val="single"/>
        </w:rPr>
        <w:t xml:space="preserve">Stability </w:t>
      </w:r>
      <w:r w:rsidRPr="009F3C37">
        <w:rPr>
          <w:rFonts w:ascii="Times New Roman" w:hAnsi="Times New Roman" w:cs="Times New Roman"/>
          <w:b/>
          <w:bCs/>
          <w:color w:val="000000" w:themeColor="text1"/>
          <w:sz w:val="24"/>
          <w:szCs w:val="24"/>
          <w:u w:val="single"/>
        </w:rPr>
        <w:t xml:space="preserve">When </w:t>
      </w:r>
      <w:r w:rsidR="00F52DFF" w:rsidRPr="009F3C37">
        <w:rPr>
          <w:rFonts w:ascii="Times New Roman" w:hAnsi="Times New Roman" w:cs="Times New Roman"/>
          <w:b/>
          <w:bCs/>
          <w:color w:val="000000" w:themeColor="text1"/>
          <w:sz w:val="24"/>
          <w:szCs w:val="24"/>
          <w:u w:val="single"/>
        </w:rPr>
        <w:t>Federal Constitutional Doctrine Shifts</w:t>
      </w:r>
      <w:bookmarkEnd w:id="62"/>
    </w:p>
    <w:p w14:paraId="2A0F654C" w14:textId="6845F4B5" w:rsidR="00A75176" w:rsidRPr="009F3C37" w:rsidRDefault="00AE742D" w:rsidP="0040161E">
      <w:pPr>
        <w:spacing w:line="480" w:lineRule="auto"/>
        <w:ind w:firstLine="720"/>
        <w:jc w:val="both"/>
        <w:rPr>
          <w:color w:val="000000" w:themeColor="text1"/>
        </w:rPr>
      </w:pPr>
      <w:r w:rsidRPr="009F3C37">
        <w:t xml:space="preserve">Once a state ties the sails of </w:t>
      </w:r>
      <w:r w:rsidR="006A2BF0" w:rsidRPr="009F3C37">
        <w:t>its s</w:t>
      </w:r>
      <w:r w:rsidRPr="009F3C37">
        <w:t>tate constitution</w:t>
      </w:r>
      <w:r w:rsidR="006A2BF0" w:rsidRPr="009F3C37">
        <w:t xml:space="preserve"> to the federal constitution, </w:t>
      </w:r>
      <w:r w:rsidR="006A60B2" w:rsidRPr="009F3C37">
        <w:t>subsequent</w:t>
      </w:r>
      <w:r w:rsidR="009D189A" w:rsidRPr="009F3C37">
        <w:t xml:space="preserve"> </w:t>
      </w:r>
      <w:r w:rsidRPr="009F3C37">
        <w:t xml:space="preserve">developments in federal constitutional law </w:t>
      </w:r>
      <w:r w:rsidR="009219D4" w:rsidRPr="009F3C37">
        <w:t xml:space="preserve">can </w:t>
      </w:r>
      <w:r w:rsidR="006A2BF0" w:rsidRPr="009F3C37">
        <w:t xml:space="preserve">weaken state constitutional protections </w:t>
      </w:r>
      <w:r w:rsidR="009F33E4" w:rsidRPr="009F3C37">
        <w:t>and</w:t>
      </w:r>
      <w:r w:rsidR="006A2BF0" w:rsidRPr="009F3C37">
        <w:t xml:space="preserve"> </w:t>
      </w:r>
      <w:r w:rsidR="0061380C" w:rsidRPr="009F3C37">
        <w:t>create uncertainty</w:t>
      </w:r>
      <w:r w:rsidR="004A1CC6" w:rsidRPr="009F3C37">
        <w:t xml:space="preserve"> as to the status of state constitutional rights vis-à-vis federal rights</w:t>
      </w:r>
      <w:r w:rsidR="009219D4" w:rsidRPr="009F3C37">
        <w:t>.</w:t>
      </w:r>
      <w:r w:rsidRPr="009F3C37">
        <w:t xml:space="preserve"> </w:t>
      </w:r>
      <w:r w:rsidR="007F5084" w:rsidRPr="009F3C37">
        <w:rPr>
          <w:i/>
          <w:iCs/>
        </w:rPr>
        <w:t xml:space="preserve">See generally </w:t>
      </w:r>
      <w:r w:rsidR="00DD1666" w:rsidRPr="009F3C37">
        <w:t xml:space="preserve">Hon. </w:t>
      </w:r>
      <w:r w:rsidR="004E4592" w:rsidRPr="009F3C37">
        <w:t xml:space="preserve">Elizabeth </w:t>
      </w:r>
      <w:r w:rsidR="007F5084" w:rsidRPr="009F3C37">
        <w:t xml:space="preserve">Bently, “State Court Adherence to Decisions Incorporating Federal Constitutional Law,” 110 Iowa L Rev 1013, 1026 (2025) (suggesting that </w:t>
      </w:r>
      <w:r w:rsidR="00671952" w:rsidRPr="009F3C37">
        <w:t>alignment between state and federal constitutional rights</w:t>
      </w:r>
      <w:r w:rsidR="007F5084" w:rsidRPr="009F3C37">
        <w:t xml:space="preserve">, coupled with </w:t>
      </w:r>
      <w:r w:rsidR="00CF26B7" w:rsidRPr="009F3C37">
        <w:t xml:space="preserve">subsequent </w:t>
      </w:r>
      <w:r w:rsidR="007F5084" w:rsidRPr="009F3C37">
        <w:t xml:space="preserve">changes in federal </w:t>
      </w:r>
      <w:r w:rsidR="00CF26B7" w:rsidRPr="009F3C37">
        <w:t>constitutional precedent</w:t>
      </w:r>
      <w:r w:rsidR="007F5084" w:rsidRPr="009F3C37">
        <w:t xml:space="preserve">, “create ‘stranded’ state constitutional doctrine that requires state courts to react and clarify the status of state constitutional law”). </w:t>
      </w:r>
      <w:r w:rsidR="003A605F" w:rsidRPr="009F3C37">
        <w:t>W</w:t>
      </w:r>
      <w:r w:rsidR="00392C75" w:rsidRPr="009F3C37">
        <w:t xml:space="preserve">hen this happens, </w:t>
      </w:r>
      <w:r w:rsidR="003A605F" w:rsidRPr="009F3C37">
        <w:t xml:space="preserve">state </w:t>
      </w:r>
      <w:r w:rsidR="009D189A" w:rsidRPr="009F3C37">
        <w:t xml:space="preserve">trial </w:t>
      </w:r>
      <w:r w:rsidR="003A605F" w:rsidRPr="009F3C37">
        <w:t xml:space="preserve">courts </w:t>
      </w:r>
      <w:r w:rsidR="001519F7" w:rsidRPr="009F3C37">
        <w:t>can be put</w:t>
      </w:r>
      <w:r w:rsidR="003A605F" w:rsidRPr="009F3C37">
        <w:t xml:space="preserve"> in the </w:t>
      </w:r>
      <w:r w:rsidR="009D189A" w:rsidRPr="009F3C37">
        <w:t>difficult</w:t>
      </w:r>
      <w:r w:rsidR="003A605F" w:rsidRPr="009F3C37">
        <w:t xml:space="preserve"> position of having to opin</w:t>
      </w:r>
      <w:r w:rsidR="00CD6F9B" w:rsidRPr="009F3C37">
        <w:t>e</w:t>
      </w:r>
      <w:r w:rsidR="003A605F" w:rsidRPr="009F3C37">
        <w:t xml:space="preserve"> on what </w:t>
      </w:r>
      <w:r w:rsidR="00DA34F3" w:rsidRPr="009F3C37">
        <w:t xml:space="preserve">state appellate courts </w:t>
      </w:r>
      <w:r w:rsidR="00CD6F9B" w:rsidRPr="009F3C37">
        <w:t>would have</w:t>
      </w:r>
      <w:r w:rsidR="00DA34F3" w:rsidRPr="009F3C37">
        <w:t xml:space="preserve"> thought about subsequent federal jurisprudence</w:t>
      </w:r>
      <w:r w:rsidR="00317891" w:rsidRPr="009F3C37">
        <w:t xml:space="preserve">. </w:t>
      </w:r>
      <w:r w:rsidR="00DA34F3" w:rsidRPr="009F3C37">
        <w:rPr>
          <w:i/>
          <w:iCs/>
        </w:rPr>
        <w:t>See</w:t>
      </w:r>
      <w:r w:rsidR="00B84EE3" w:rsidRPr="009F3C37">
        <w:rPr>
          <w:i/>
          <w:iCs/>
        </w:rPr>
        <w:t xml:space="preserve"> </w:t>
      </w:r>
      <w:r w:rsidR="00B84EE3" w:rsidRPr="009F3C37">
        <w:t xml:space="preserve">TD </w:t>
      </w:r>
      <w:r w:rsidR="00DA34F3" w:rsidRPr="009F3C37">
        <w:t xml:space="preserve">Lower Court </w:t>
      </w:r>
      <w:r w:rsidR="00B84EE3" w:rsidRPr="009F3C37">
        <w:t>O</w:t>
      </w:r>
      <w:r w:rsidR="00DA34F3" w:rsidRPr="009F3C37">
        <w:t>pinion</w:t>
      </w:r>
      <w:r w:rsidR="00B84EE3" w:rsidRPr="009F3C37">
        <w:t>, ¶</w:t>
      </w:r>
      <w:r w:rsidR="007F5084" w:rsidRPr="009F3C37">
        <w:t>¶</w:t>
      </w:r>
      <w:r w:rsidR="00B84EE3" w:rsidRPr="009F3C37">
        <w:t xml:space="preserve"> </w:t>
      </w:r>
      <w:r w:rsidR="007F5084" w:rsidRPr="009F3C37">
        <w:t>57–</w:t>
      </w:r>
      <w:r w:rsidR="00B84EE3" w:rsidRPr="009F3C37">
        <w:t>63</w:t>
      </w:r>
      <w:r w:rsidR="007F5084" w:rsidRPr="009F3C37">
        <w:t>;</w:t>
      </w:r>
      <w:r w:rsidR="00DA34F3" w:rsidRPr="009F3C37">
        <w:t xml:space="preserve"> </w:t>
      </w:r>
      <w:r w:rsidR="00DA34F3" w:rsidRPr="009F3C37">
        <w:rPr>
          <w:i/>
          <w:iCs/>
        </w:rPr>
        <w:t>see also</w:t>
      </w:r>
      <w:r w:rsidRPr="009F3C37">
        <w:t xml:space="preserve"> </w:t>
      </w:r>
      <w:r w:rsidRPr="009F3C37">
        <w:rPr>
          <w:i/>
          <w:iCs/>
        </w:rPr>
        <w:t>State v Barrow</w:t>
      </w:r>
      <w:r w:rsidRPr="009F3C37">
        <w:t>, 989 NW2d 682, 689</w:t>
      </w:r>
      <w:r w:rsidR="009F33E4" w:rsidRPr="009F3C37">
        <w:t xml:space="preserve"> </w:t>
      </w:r>
      <w:r w:rsidRPr="009F3C37">
        <w:t xml:space="preserve">(Minn 2023) </w:t>
      </w:r>
      <w:r w:rsidRPr="009F3C37">
        <w:lastRenderedPageBreak/>
        <w:t>(</w:t>
      </w:r>
      <w:r w:rsidR="00C54694" w:rsidRPr="009F3C37">
        <w:t>Chutich,</w:t>
      </w:r>
      <w:r w:rsidR="009219D4" w:rsidRPr="009F3C37">
        <w:t xml:space="preserve"> </w:t>
      </w:r>
      <w:r w:rsidRPr="009F3C37">
        <w:t>J., concurring) (noting that Minnesota’s search and seizure protections may no longer be coextensive with federal law due in part to “[t]he creeping expansion of the automobile exception, illustrated by . . . Supreme Court precedents.”)</w:t>
      </w:r>
    </w:p>
    <w:p w14:paraId="14583940" w14:textId="2885B09D" w:rsidR="006A17B6" w:rsidRPr="009F3C37" w:rsidRDefault="00443C82" w:rsidP="00443C82">
      <w:pPr>
        <w:spacing w:line="480" w:lineRule="auto"/>
        <w:ind w:firstLine="720"/>
        <w:jc w:val="both"/>
        <w:rPr>
          <w:color w:val="000000" w:themeColor="text1"/>
          <w:shd w:val="clear" w:color="auto" w:fill="FFFFFF"/>
        </w:rPr>
      </w:pPr>
      <w:r w:rsidRPr="009F3C37">
        <w:rPr>
          <w:color w:val="000000" w:themeColor="text1"/>
          <w:shd w:val="clear" w:color="auto" w:fill="FFFFFF"/>
        </w:rPr>
        <w:t>Avoid</w:t>
      </w:r>
      <w:r w:rsidR="00666CA1" w:rsidRPr="009F3C37">
        <w:rPr>
          <w:color w:val="000000" w:themeColor="text1"/>
          <w:shd w:val="clear" w:color="auto" w:fill="FFFFFF"/>
        </w:rPr>
        <w:t>ing</w:t>
      </w:r>
      <w:r w:rsidRPr="009F3C37">
        <w:rPr>
          <w:color w:val="000000" w:themeColor="text1"/>
          <w:shd w:val="clear" w:color="auto" w:fill="FFFFFF"/>
        </w:rPr>
        <w:t xml:space="preserve"> presumptions in favor of federal law</w:t>
      </w:r>
      <w:r w:rsidR="00C7671C" w:rsidRPr="009F3C37">
        <w:rPr>
          <w:color w:val="000000" w:themeColor="text1"/>
          <w:shd w:val="clear" w:color="auto" w:fill="FFFFFF"/>
        </w:rPr>
        <w:t xml:space="preserve"> </w:t>
      </w:r>
      <w:r w:rsidR="001F51F9" w:rsidRPr="009F3C37">
        <w:rPr>
          <w:color w:val="000000" w:themeColor="text1"/>
          <w:shd w:val="clear" w:color="auto" w:fill="FFFFFF"/>
        </w:rPr>
        <w:t>avoids creat</w:t>
      </w:r>
      <w:r w:rsidR="002615F5" w:rsidRPr="009F3C37">
        <w:rPr>
          <w:color w:val="000000" w:themeColor="text1"/>
          <w:shd w:val="clear" w:color="auto" w:fill="FFFFFF"/>
        </w:rPr>
        <w:t>ing</w:t>
      </w:r>
      <w:r w:rsidR="001F51F9" w:rsidRPr="009F3C37">
        <w:rPr>
          <w:color w:val="000000" w:themeColor="text1"/>
          <w:shd w:val="clear" w:color="auto" w:fill="FFFFFF"/>
        </w:rPr>
        <w:t xml:space="preserve"> “stranded doctrine,” </w:t>
      </w:r>
      <w:r w:rsidR="003E77A3" w:rsidRPr="009F3C37">
        <w:rPr>
          <w:color w:val="000000" w:themeColor="text1"/>
          <w:shd w:val="clear" w:color="auto" w:fill="FFFFFF"/>
        </w:rPr>
        <w:t>provid</w:t>
      </w:r>
      <w:r w:rsidR="001F51F9" w:rsidRPr="009F3C37">
        <w:rPr>
          <w:color w:val="000000" w:themeColor="text1"/>
          <w:shd w:val="clear" w:color="auto" w:fill="FFFFFF"/>
        </w:rPr>
        <w:t>ing</w:t>
      </w:r>
      <w:r w:rsidR="003E77A3" w:rsidRPr="009F3C37">
        <w:rPr>
          <w:color w:val="000000" w:themeColor="text1"/>
          <w:shd w:val="clear" w:color="auto" w:fill="FFFFFF"/>
        </w:rPr>
        <w:t xml:space="preserve"> stability</w:t>
      </w:r>
      <w:r w:rsidR="001F51F9" w:rsidRPr="009F3C37">
        <w:rPr>
          <w:color w:val="000000" w:themeColor="text1"/>
          <w:shd w:val="clear" w:color="auto" w:fill="FFFFFF"/>
        </w:rPr>
        <w:t xml:space="preserve"> over time </w:t>
      </w:r>
      <w:r w:rsidR="002D5F45">
        <w:rPr>
          <w:color w:val="000000" w:themeColor="text1"/>
          <w:shd w:val="clear" w:color="auto" w:fill="FFFFFF"/>
        </w:rPr>
        <w:t>when</w:t>
      </w:r>
      <w:r w:rsidR="001F51F9" w:rsidRPr="009F3C37">
        <w:rPr>
          <w:color w:val="000000" w:themeColor="text1"/>
          <w:shd w:val="clear" w:color="auto" w:fill="FFFFFF"/>
        </w:rPr>
        <w:t xml:space="preserve"> </w:t>
      </w:r>
      <w:r w:rsidR="002D5F45">
        <w:rPr>
          <w:color w:val="000000" w:themeColor="text1"/>
          <w:shd w:val="clear" w:color="auto" w:fill="FFFFFF"/>
        </w:rPr>
        <w:t xml:space="preserve">the </w:t>
      </w:r>
      <w:r w:rsidR="001F51F9" w:rsidRPr="009F3C37">
        <w:rPr>
          <w:color w:val="000000" w:themeColor="text1"/>
          <w:shd w:val="clear" w:color="auto" w:fill="FFFFFF"/>
        </w:rPr>
        <w:t>federal constitutional landscape shifts.</w:t>
      </w:r>
      <w:r w:rsidR="004F6BF7" w:rsidRPr="009F3C37">
        <w:rPr>
          <w:color w:val="000000" w:themeColor="text1"/>
          <w:shd w:val="clear" w:color="auto" w:fill="FFFFFF"/>
        </w:rPr>
        <w:t xml:space="preserve"> </w:t>
      </w:r>
      <w:r w:rsidR="002D5F45">
        <w:rPr>
          <w:color w:val="000000" w:themeColor="text1"/>
          <w:shd w:val="clear" w:color="auto" w:fill="FFFFFF"/>
        </w:rPr>
        <w:t>Bently, at 1026.</w:t>
      </w:r>
    </w:p>
    <w:p w14:paraId="3A32798C" w14:textId="340CC677" w:rsidR="0099527D" w:rsidRPr="009F3C37" w:rsidRDefault="005F111E" w:rsidP="006A23B3">
      <w:pPr>
        <w:pStyle w:val="Heading1"/>
        <w:numPr>
          <w:ilvl w:val="0"/>
          <w:numId w:val="20"/>
        </w:numPr>
        <w:spacing w:line="480" w:lineRule="auto"/>
        <w:jc w:val="both"/>
        <w:rPr>
          <w:rFonts w:cs="Times New Roman"/>
          <w:b/>
          <w:bCs/>
          <w:u w:val="single"/>
        </w:rPr>
      </w:pPr>
      <w:bookmarkStart w:id="63" w:name="_Toc225513394"/>
      <w:bookmarkStart w:id="64" w:name="_Toc225513451"/>
      <w:bookmarkStart w:id="65" w:name="_Toc225513510"/>
      <w:bookmarkStart w:id="66" w:name="_Toc225513553"/>
      <w:bookmarkStart w:id="67" w:name="_Toc225513554"/>
      <w:bookmarkEnd w:id="63"/>
      <w:bookmarkEnd w:id="64"/>
      <w:bookmarkEnd w:id="65"/>
      <w:bookmarkEnd w:id="66"/>
      <w:r w:rsidRPr="009F3C37">
        <w:rPr>
          <w:rFonts w:cs="Times New Roman"/>
          <w:b/>
          <w:bCs/>
          <w:u w:val="single"/>
        </w:rPr>
        <w:t xml:space="preserve">State Courts </w:t>
      </w:r>
      <w:r w:rsidR="00280403" w:rsidRPr="009F3C37">
        <w:rPr>
          <w:rFonts w:cs="Times New Roman"/>
          <w:b/>
          <w:bCs/>
          <w:u w:val="single"/>
        </w:rPr>
        <w:t>Have Found</w:t>
      </w:r>
      <w:r w:rsidR="001E749F" w:rsidRPr="009F3C37">
        <w:rPr>
          <w:rFonts w:cs="Times New Roman"/>
          <w:b/>
          <w:bCs/>
          <w:u w:val="single"/>
        </w:rPr>
        <w:t xml:space="preserve"> </w:t>
      </w:r>
      <w:r w:rsidR="00280403" w:rsidRPr="009F3C37">
        <w:rPr>
          <w:rFonts w:cs="Times New Roman"/>
          <w:b/>
          <w:bCs/>
          <w:u w:val="single"/>
        </w:rPr>
        <w:t xml:space="preserve">That </w:t>
      </w:r>
      <w:r w:rsidR="001E749F" w:rsidRPr="009F3C37">
        <w:rPr>
          <w:rFonts w:cs="Times New Roman"/>
          <w:b/>
          <w:bCs/>
          <w:u w:val="single"/>
        </w:rPr>
        <w:t>More Flexible</w:t>
      </w:r>
      <w:r w:rsidR="00A43D08" w:rsidRPr="009F3C37">
        <w:rPr>
          <w:rFonts w:cs="Times New Roman"/>
          <w:b/>
          <w:bCs/>
          <w:u w:val="single"/>
        </w:rPr>
        <w:t xml:space="preserve"> Equal Protection and </w:t>
      </w:r>
      <w:r w:rsidR="00757E74" w:rsidRPr="009F3C37">
        <w:rPr>
          <w:rFonts w:cs="Times New Roman"/>
          <w:b/>
          <w:bCs/>
          <w:u w:val="single"/>
        </w:rPr>
        <w:t xml:space="preserve">Fundamental Rights </w:t>
      </w:r>
      <w:r w:rsidR="001E749F" w:rsidRPr="009F3C37">
        <w:rPr>
          <w:rFonts w:cs="Times New Roman"/>
          <w:b/>
          <w:bCs/>
          <w:u w:val="single"/>
        </w:rPr>
        <w:t xml:space="preserve">Frameworks </w:t>
      </w:r>
      <w:r w:rsidR="00280403" w:rsidRPr="009F3C37">
        <w:rPr>
          <w:rFonts w:cs="Times New Roman"/>
          <w:b/>
          <w:bCs/>
          <w:u w:val="single"/>
        </w:rPr>
        <w:t>Better</w:t>
      </w:r>
      <w:r w:rsidR="000F77CD" w:rsidRPr="009F3C37">
        <w:rPr>
          <w:rFonts w:cs="Times New Roman"/>
          <w:b/>
          <w:bCs/>
          <w:u w:val="single"/>
        </w:rPr>
        <w:t xml:space="preserve"> Effectuate State</w:t>
      </w:r>
      <w:r w:rsidR="001E50A7" w:rsidRPr="009F3C37">
        <w:rPr>
          <w:rFonts w:cs="Times New Roman"/>
          <w:b/>
          <w:bCs/>
          <w:u w:val="single"/>
        </w:rPr>
        <w:t xml:space="preserve"> Constitutional </w:t>
      </w:r>
      <w:r w:rsidR="00F531F6" w:rsidRPr="009F3C37">
        <w:rPr>
          <w:rFonts w:cs="Times New Roman"/>
          <w:b/>
          <w:bCs/>
          <w:u w:val="single"/>
        </w:rPr>
        <w:t>Principles</w:t>
      </w:r>
      <w:bookmarkEnd w:id="67"/>
    </w:p>
    <w:p w14:paraId="40E59F65" w14:textId="2830B3DD" w:rsidR="009353DF" w:rsidRPr="009F3C37" w:rsidRDefault="00167253" w:rsidP="001D1D9F">
      <w:pPr>
        <w:spacing w:line="480" w:lineRule="auto"/>
        <w:ind w:firstLine="720"/>
        <w:jc w:val="both"/>
        <w:rPr>
          <w:color w:val="000000" w:themeColor="text1"/>
        </w:rPr>
      </w:pPr>
      <w:r w:rsidRPr="009F3C37">
        <w:rPr>
          <w:color w:val="000000" w:themeColor="text1"/>
        </w:rPr>
        <w:t>Differences in the text</w:t>
      </w:r>
      <w:r w:rsidR="001556DE" w:rsidRPr="009F3C37">
        <w:rPr>
          <w:color w:val="000000" w:themeColor="text1"/>
        </w:rPr>
        <w:t>, history, and function of state and federal constitutions</w:t>
      </w:r>
      <w:r w:rsidRPr="009F3C37">
        <w:rPr>
          <w:color w:val="000000" w:themeColor="text1"/>
        </w:rPr>
        <w:t xml:space="preserve"> have led </w:t>
      </w:r>
      <w:r w:rsidR="00E052F7" w:rsidRPr="009F3C37">
        <w:rPr>
          <w:color w:val="000000" w:themeColor="text1"/>
        </w:rPr>
        <w:t>“</w:t>
      </w:r>
      <w:r w:rsidR="001556DE" w:rsidRPr="009F3C37">
        <w:rPr>
          <w:color w:val="000000" w:themeColor="text1"/>
        </w:rPr>
        <w:t>[m]</w:t>
      </w:r>
      <w:r w:rsidR="00C634A4" w:rsidRPr="009F3C37">
        <w:rPr>
          <w:color w:val="000000" w:themeColor="text1"/>
        </w:rPr>
        <w:t xml:space="preserve">ore and more states </w:t>
      </w:r>
      <w:r w:rsidRPr="009F3C37">
        <w:rPr>
          <w:color w:val="000000" w:themeColor="text1"/>
        </w:rPr>
        <w:t xml:space="preserve">[to] </w:t>
      </w:r>
      <w:r w:rsidR="00C634A4" w:rsidRPr="009F3C37">
        <w:rPr>
          <w:color w:val="000000" w:themeColor="text1"/>
        </w:rPr>
        <w:t>reject</w:t>
      </w:r>
      <w:r w:rsidRPr="009F3C37">
        <w:rPr>
          <w:color w:val="000000" w:themeColor="text1"/>
        </w:rPr>
        <w:t>[]</w:t>
      </w:r>
      <w:r w:rsidR="00C634A4" w:rsidRPr="009F3C37">
        <w:rPr>
          <w:color w:val="000000" w:themeColor="text1"/>
        </w:rPr>
        <w:t xml:space="preserve"> the constructs developed by the U.S. Supreme Court in interpreting the federal Equal Protection Clause</w:t>
      </w:r>
      <w:r w:rsidR="00BE49A1" w:rsidRPr="009F3C37">
        <w:rPr>
          <w:color w:val="000000" w:themeColor="text1"/>
        </w:rPr>
        <w:t xml:space="preserve">” in favor of </w:t>
      </w:r>
      <w:r w:rsidR="00627C72" w:rsidRPr="009F3C37">
        <w:rPr>
          <w:color w:val="000000" w:themeColor="text1"/>
        </w:rPr>
        <w:t xml:space="preserve">more flexible </w:t>
      </w:r>
      <w:r w:rsidR="00BE49A1" w:rsidRPr="009F3C37">
        <w:rPr>
          <w:color w:val="000000" w:themeColor="text1"/>
        </w:rPr>
        <w:t xml:space="preserve">approaches </w:t>
      </w:r>
      <w:r w:rsidRPr="009F3C37">
        <w:rPr>
          <w:color w:val="000000" w:themeColor="text1"/>
        </w:rPr>
        <w:t xml:space="preserve">that </w:t>
      </w:r>
      <w:r w:rsidR="004B223E" w:rsidRPr="009F3C37">
        <w:rPr>
          <w:color w:val="000000" w:themeColor="text1"/>
        </w:rPr>
        <w:t xml:space="preserve">better </w:t>
      </w:r>
      <w:r w:rsidR="007A1601" w:rsidRPr="009F3C37">
        <w:rPr>
          <w:color w:val="000000" w:themeColor="text1"/>
        </w:rPr>
        <w:t>effect</w:t>
      </w:r>
      <w:r w:rsidR="009B4302" w:rsidRPr="009F3C37">
        <w:rPr>
          <w:color w:val="000000" w:themeColor="text1"/>
        </w:rPr>
        <w:t>uate</w:t>
      </w:r>
      <w:r w:rsidR="00FB744C" w:rsidRPr="009F3C37">
        <w:rPr>
          <w:color w:val="000000" w:themeColor="text1"/>
        </w:rPr>
        <w:t xml:space="preserve"> </w:t>
      </w:r>
      <w:r w:rsidR="007A1601" w:rsidRPr="009F3C37">
        <w:rPr>
          <w:color w:val="000000" w:themeColor="text1"/>
        </w:rPr>
        <w:t xml:space="preserve">a </w:t>
      </w:r>
      <w:r w:rsidR="00FB744C" w:rsidRPr="009F3C37">
        <w:rPr>
          <w:color w:val="000000" w:themeColor="text1"/>
        </w:rPr>
        <w:t>state constitution</w:t>
      </w:r>
      <w:r w:rsidR="007A1601" w:rsidRPr="009F3C37">
        <w:rPr>
          <w:color w:val="000000" w:themeColor="text1"/>
        </w:rPr>
        <w:t>’s</w:t>
      </w:r>
      <w:r w:rsidR="00FB744C" w:rsidRPr="009F3C37">
        <w:rPr>
          <w:color w:val="000000" w:themeColor="text1"/>
        </w:rPr>
        <w:t xml:space="preserve"> unique principles</w:t>
      </w:r>
      <w:r w:rsidR="009B4302" w:rsidRPr="009F3C37">
        <w:rPr>
          <w:color w:val="000000" w:themeColor="text1"/>
        </w:rPr>
        <w:t xml:space="preserve"> a</w:t>
      </w:r>
      <w:r w:rsidR="00FB744C" w:rsidRPr="009F3C37">
        <w:rPr>
          <w:color w:val="000000" w:themeColor="text1"/>
        </w:rPr>
        <w:t>nd values.</w:t>
      </w:r>
      <w:r w:rsidR="00BE49A1" w:rsidRPr="009F3C37">
        <w:rPr>
          <w:color w:val="000000" w:themeColor="text1"/>
        </w:rPr>
        <w:t xml:space="preserve"> </w:t>
      </w:r>
      <w:r w:rsidR="00FB744C" w:rsidRPr="009F3C37">
        <w:rPr>
          <w:color w:val="000000" w:themeColor="text1"/>
        </w:rPr>
        <w:t>Williams &amp; Friedman, at 252</w:t>
      </w:r>
      <w:r w:rsidR="001556DE" w:rsidRPr="009F3C37">
        <w:rPr>
          <w:color w:val="000000" w:themeColor="text1"/>
        </w:rPr>
        <w:t>.</w:t>
      </w:r>
      <w:r w:rsidR="009B4302" w:rsidRPr="009F3C37">
        <w:rPr>
          <w:color w:val="000000" w:themeColor="text1"/>
        </w:rPr>
        <w:t xml:space="preserve"> Because </w:t>
      </w:r>
      <w:r w:rsidR="00627C72" w:rsidRPr="009F3C37">
        <w:rPr>
          <w:color w:val="000000" w:themeColor="text1"/>
        </w:rPr>
        <w:t>“</w:t>
      </w:r>
      <w:r w:rsidR="00CA5729" w:rsidRPr="009F3C37">
        <w:rPr>
          <w:color w:val="000000" w:themeColor="text1"/>
        </w:rPr>
        <w:t xml:space="preserve">state constitutions are more likely to share historical and linguistic roots,” “necessarily will cover smaller jurisdictions than the National High Court,” and “[i]n almost all instances they will be construing individual-liberty guarantees that originated in state constitutions,” this </w:t>
      </w:r>
      <w:r w:rsidR="004B223E" w:rsidRPr="009F3C37">
        <w:rPr>
          <w:color w:val="000000" w:themeColor="text1"/>
        </w:rPr>
        <w:t>C</w:t>
      </w:r>
      <w:r w:rsidR="00CA5729" w:rsidRPr="009F3C37">
        <w:rPr>
          <w:color w:val="000000" w:themeColor="text1"/>
        </w:rPr>
        <w:t xml:space="preserve">ourt may find such approaches </w:t>
      </w:r>
      <w:r w:rsidR="00627C72" w:rsidRPr="009F3C37">
        <w:rPr>
          <w:color w:val="000000" w:themeColor="text1"/>
        </w:rPr>
        <w:t xml:space="preserve">more </w:t>
      </w:r>
      <w:r w:rsidR="00A53031" w:rsidRPr="009F3C37">
        <w:rPr>
          <w:color w:val="000000" w:themeColor="text1"/>
        </w:rPr>
        <w:t>persuasive</w:t>
      </w:r>
      <w:r w:rsidR="00627C72" w:rsidRPr="009F3C37">
        <w:rPr>
          <w:color w:val="000000" w:themeColor="text1"/>
        </w:rPr>
        <w:t xml:space="preserve"> than federal standards.</w:t>
      </w:r>
      <w:r w:rsidR="004D0B85" w:rsidRPr="009F3C37">
        <w:rPr>
          <w:color w:val="000000" w:themeColor="text1"/>
        </w:rPr>
        <w:t xml:space="preserve"> </w:t>
      </w:r>
      <w:r w:rsidR="00CA5729" w:rsidRPr="009F3C37">
        <w:rPr>
          <w:color w:val="000000" w:themeColor="text1"/>
        </w:rPr>
        <w:t xml:space="preserve">Sutton, </w:t>
      </w:r>
      <w:r w:rsidR="00CA5729" w:rsidRPr="009F3C37">
        <w:rPr>
          <w:i/>
          <w:iCs/>
          <w:color w:val="000000" w:themeColor="text1"/>
        </w:rPr>
        <w:t>51 Imperfect Solutions</w:t>
      </w:r>
      <w:r w:rsidR="00CA5729" w:rsidRPr="009F3C37">
        <w:rPr>
          <w:color w:val="000000" w:themeColor="text1"/>
        </w:rPr>
        <w:t>, at 176.</w:t>
      </w:r>
    </w:p>
    <w:p w14:paraId="4E9C4E96" w14:textId="1B92C270" w:rsidR="00D725EA" w:rsidRPr="009F3C37" w:rsidRDefault="001B3F4F" w:rsidP="001D1D9F">
      <w:pPr>
        <w:spacing w:line="480" w:lineRule="auto"/>
        <w:ind w:firstLine="720"/>
        <w:jc w:val="both"/>
        <w:rPr>
          <w:color w:val="000000" w:themeColor="text1"/>
        </w:rPr>
      </w:pPr>
      <w:r w:rsidRPr="009F3C37">
        <w:rPr>
          <w:color w:val="000000" w:themeColor="text1"/>
        </w:rPr>
        <w:t>Although</w:t>
      </w:r>
      <w:r w:rsidR="00314CB0" w:rsidRPr="009F3C37">
        <w:rPr>
          <w:color w:val="000000" w:themeColor="text1"/>
        </w:rPr>
        <w:t xml:space="preserve"> </w:t>
      </w:r>
      <w:r w:rsidR="00A53031" w:rsidRPr="009F3C37">
        <w:rPr>
          <w:color w:val="000000" w:themeColor="text1"/>
        </w:rPr>
        <w:t xml:space="preserve">many state courts </w:t>
      </w:r>
      <w:r w:rsidR="00DB5C7F" w:rsidRPr="009F3C37">
        <w:rPr>
          <w:color w:val="000000" w:themeColor="text1"/>
        </w:rPr>
        <w:t>agree with the U.S. Supreme Court</w:t>
      </w:r>
      <w:r w:rsidR="004E4C40" w:rsidRPr="009F3C37">
        <w:rPr>
          <w:color w:val="000000" w:themeColor="text1"/>
        </w:rPr>
        <w:t xml:space="preserve"> </w:t>
      </w:r>
      <w:r w:rsidR="007E3B6A" w:rsidRPr="009F3C37">
        <w:rPr>
          <w:color w:val="000000" w:themeColor="text1"/>
        </w:rPr>
        <w:t xml:space="preserve">that </w:t>
      </w:r>
      <w:r w:rsidR="00301099" w:rsidRPr="009F3C37">
        <w:rPr>
          <w:color w:val="000000" w:themeColor="text1"/>
        </w:rPr>
        <w:t>indicia of a suspect class include</w:t>
      </w:r>
      <w:r w:rsidR="00444173" w:rsidRPr="009F3C37">
        <w:rPr>
          <w:color w:val="000000" w:themeColor="text1"/>
        </w:rPr>
        <w:t xml:space="preserve"> </w:t>
      </w:r>
      <w:r w:rsidR="005A7798" w:rsidRPr="009F3C37">
        <w:rPr>
          <w:color w:val="000000" w:themeColor="text1"/>
        </w:rPr>
        <w:t xml:space="preserve">“obvious, immutable or distinguishing characteristics,” a history of discrimination, </w:t>
      </w:r>
      <w:r w:rsidR="00CF3CD9" w:rsidRPr="009F3C37">
        <w:rPr>
          <w:color w:val="000000" w:themeColor="text1"/>
        </w:rPr>
        <w:t xml:space="preserve">and </w:t>
      </w:r>
      <w:r w:rsidR="00BC115A" w:rsidRPr="009F3C37">
        <w:rPr>
          <w:color w:val="000000" w:themeColor="text1"/>
        </w:rPr>
        <w:t>“</w:t>
      </w:r>
      <w:r w:rsidR="00CF3CD9" w:rsidRPr="009F3C37">
        <w:rPr>
          <w:color w:val="000000" w:themeColor="text1"/>
        </w:rPr>
        <w:t>curtail</w:t>
      </w:r>
      <w:r w:rsidR="00BC115A" w:rsidRPr="009F3C37">
        <w:rPr>
          <w:color w:val="000000" w:themeColor="text1"/>
        </w:rPr>
        <w:t>[</w:t>
      </w:r>
      <w:r w:rsidR="00CF3CD9" w:rsidRPr="009F3C37">
        <w:rPr>
          <w:color w:val="000000" w:themeColor="text1"/>
        </w:rPr>
        <w:t>ment</w:t>
      </w:r>
      <w:r w:rsidR="00BC115A" w:rsidRPr="009F3C37">
        <w:rPr>
          <w:color w:val="000000" w:themeColor="text1"/>
        </w:rPr>
        <w:t>]”</w:t>
      </w:r>
      <w:r w:rsidR="00CF3CD9" w:rsidRPr="009F3C37">
        <w:rPr>
          <w:color w:val="000000" w:themeColor="text1"/>
        </w:rPr>
        <w:t xml:space="preserve"> of </w:t>
      </w:r>
      <w:r w:rsidR="00444173" w:rsidRPr="009F3C37">
        <w:rPr>
          <w:color w:val="000000" w:themeColor="text1"/>
        </w:rPr>
        <w:t xml:space="preserve">the group’s ability to participate in the political process, </w:t>
      </w:r>
      <w:r w:rsidR="003D39CE" w:rsidRPr="009F3C37">
        <w:rPr>
          <w:color w:val="000000" w:themeColor="text1"/>
        </w:rPr>
        <w:t xml:space="preserve">state courts apply such factors with greater flexibility in order to </w:t>
      </w:r>
      <w:r w:rsidR="00301099" w:rsidRPr="009F3C37">
        <w:rPr>
          <w:color w:val="000000" w:themeColor="text1"/>
        </w:rPr>
        <w:t>accommodate</w:t>
      </w:r>
      <w:r w:rsidR="003D39CE" w:rsidRPr="009F3C37">
        <w:rPr>
          <w:color w:val="000000" w:themeColor="text1"/>
        </w:rPr>
        <w:t xml:space="preserve"> unique state constitutional considerations. </w:t>
      </w:r>
      <w:r w:rsidR="003D39CE" w:rsidRPr="009F3C37">
        <w:rPr>
          <w:i/>
          <w:iCs/>
        </w:rPr>
        <w:t xml:space="preserve">See generally </w:t>
      </w:r>
      <w:r w:rsidR="003D39CE" w:rsidRPr="009F3C37">
        <w:t xml:space="preserve">Marcy Strauss, “Reevaluating </w:t>
      </w:r>
      <w:r w:rsidR="003D39CE" w:rsidRPr="009F3C37">
        <w:lastRenderedPageBreak/>
        <w:t xml:space="preserve">Suspect Classes,” 35 Seattle University Law Review 135 (2011) (documenting </w:t>
      </w:r>
      <w:r w:rsidR="003C3C97" w:rsidRPr="009F3C37">
        <w:t xml:space="preserve">how </w:t>
      </w:r>
      <w:r w:rsidR="003D39CE" w:rsidRPr="009F3C37">
        <w:t>state courts use suspect class factors).</w:t>
      </w:r>
      <w:r w:rsidR="00D4294D" w:rsidRPr="009F3C37">
        <w:rPr>
          <w:color w:val="000000" w:themeColor="text1"/>
        </w:rPr>
        <w:t xml:space="preserve"> </w:t>
      </w:r>
      <w:r w:rsidR="007B551B" w:rsidRPr="009F3C37">
        <w:rPr>
          <w:color w:val="000000" w:themeColor="text1"/>
        </w:rPr>
        <w:t>For example, while the court below held</w:t>
      </w:r>
      <w:r w:rsidR="00334303" w:rsidRPr="009F3C37">
        <w:rPr>
          <w:color w:val="000000" w:themeColor="text1"/>
        </w:rPr>
        <w:t xml:space="preserve"> that because </w:t>
      </w:r>
      <w:r w:rsidR="000C32CA" w:rsidRPr="009F3C37">
        <w:rPr>
          <w:color w:val="000000" w:themeColor="text1"/>
        </w:rPr>
        <w:t>transgender identity “</w:t>
      </w:r>
      <w:r w:rsidR="00334303" w:rsidRPr="009F3C37">
        <w:rPr>
          <w:color w:val="000000" w:themeColor="text1"/>
        </w:rPr>
        <w:t>is . . . not an immutable characteristic like race” it is “therefore, not the type of</w:t>
      </w:r>
      <w:r w:rsidR="000E493C" w:rsidRPr="009F3C37">
        <w:rPr>
          <w:color w:val="000000" w:themeColor="text1"/>
        </w:rPr>
        <w:t xml:space="preserve"> </w:t>
      </w:r>
      <w:r w:rsidR="00334303" w:rsidRPr="009F3C37">
        <w:rPr>
          <w:color w:val="000000" w:themeColor="text1"/>
        </w:rPr>
        <w:t>immutable characteristic that would result in transgender individuals being considered a</w:t>
      </w:r>
      <w:r w:rsidR="000E493C" w:rsidRPr="009F3C37">
        <w:rPr>
          <w:color w:val="000000" w:themeColor="text1"/>
        </w:rPr>
        <w:t xml:space="preserve"> </w:t>
      </w:r>
      <w:r w:rsidR="00334303" w:rsidRPr="009F3C37">
        <w:rPr>
          <w:color w:val="000000" w:themeColor="text1"/>
        </w:rPr>
        <w:t>suspect classificatio</w:t>
      </w:r>
      <w:r w:rsidR="000E493C" w:rsidRPr="009F3C37">
        <w:rPr>
          <w:color w:val="000000" w:themeColor="text1"/>
        </w:rPr>
        <w:t>n</w:t>
      </w:r>
      <w:r w:rsidR="007B551B" w:rsidRPr="009F3C37">
        <w:rPr>
          <w:color w:val="000000" w:themeColor="text1"/>
        </w:rPr>
        <w:t>,</w:t>
      </w:r>
      <w:r w:rsidR="000E493C" w:rsidRPr="009F3C37">
        <w:rPr>
          <w:color w:val="000000" w:themeColor="text1"/>
        </w:rPr>
        <w:t>” TD Lower Court Opinion at ¶ 11</w:t>
      </w:r>
      <w:r w:rsidR="007B551B" w:rsidRPr="009F3C37">
        <w:rPr>
          <w:color w:val="000000" w:themeColor="text1"/>
        </w:rPr>
        <w:t>5,</w:t>
      </w:r>
      <w:r w:rsidR="005447F3" w:rsidRPr="009F3C37">
        <w:rPr>
          <w:color w:val="000000" w:themeColor="text1"/>
        </w:rPr>
        <w:t xml:space="preserve"> </w:t>
      </w:r>
      <w:r w:rsidR="003C6701" w:rsidRPr="009F3C37">
        <w:rPr>
          <w:color w:val="000000" w:themeColor="text1"/>
        </w:rPr>
        <w:t>in</w:t>
      </w:r>
      <w:r w:rsidR="003C6701" w:rsidRPr="009F3C37">
        <w:rPr>
          <w:i/>
          <w:iCs/>
          <w:color w:val="000000" w:themeColor="text1"/>
        </w:rPr>
        <w:t xml:space="preserve"> Kerrigan v. Comm'r of Pub. Health</w:t>
      </w:r>
      <w:r w:rsidR="003C6701" w:rsidRPr="009F3C37">
        <w:rPr>
          <w:color w:val="000000" w:themeColor="text1"/>
        </w:rPr>
        <w:t xml:space="preserve">, the Connecticut Supreme Court </w:t>
      </w:r>
      <w:r w:rsidR="00B73A1D" w:rsidRPr="009F3C37">
        <w:rPr>
          <w:color w:val="000000" w:themeColor="text1"/>
        </w:rPr>
        <w:t>deemed</w:t>
      </w:r>
      <w:r w:rsidR="003C6701" w:rsidRPr="009F3C37">
        <w:rPr>
          <w:color w:val="000000" w:themeColor="text1"/>
        </w:rPr>
        <w:t xml:space="preserve"> sexual orientation a quasi-suspect class without needing to “decide whether sexual orientation is immutable in the same way and to the same extent that race, national origin and gender are immutable.” 957 A.2d 407, 436–37 (2008).</w:t>
      </w:r>
      <w:r w:rsidR="003C3C97" w:rsidRPr="009F3C37">
        <w:rPr>
          <w:rStyle w:val="FootnoteReference"/>
          <w:color w:val="000000" w:themeColor="text1"/>
        </w:rPr>
        <w:t xml:space="preserve"> </w:t>
      </w:r>
      <w:r w:rsidR="00C84063" w:rsidRPr="009F3C37">
        <w:rPr>
          <w:color w:val="000000" w:themeColor="text1"/>
        </w:rPr>
        <w:t>Similarly</w:t>
      </w:r>
      <w:r w:rsidR="000C32CA" w:rsidRPr="009F3C37">
        <w:rPr>
          <w:color w:val="000000" w:themeColor="text1"/>
        </w:rPr>
        <w:t xml:space="preserve">, </w:t>
      </w:r>
      <w:r w:rsidR="00DE5A1A" w:rsidRPr="009F3C37">
        <w:rPr>
          <w:color w:val="000000" w:themeColor="text1"/>
        </w:rPr>
        <w:t xml:space="preserve">while </w:t>
      </w:r>
      <w:r w:rsidR="00B73A1D" w:rsidRPr="009F3C37">
        <w:rPr>
          <w:color w:val="000000" w:themeColor="text1"/>
        </w:rPr>
        <w:t>the</w:t>
      </w:r>
      <w:r w:rsidR="000C32CA" w:rsidRPr="009F3C37">
        <w:rPr>
          <w:color w:val="000000" w:themeColor="text1"/>
        </w:rPr>
        <w:t xml:space="preserve"> decision below bolstered its </w:t>
      </w:r>
      <w:r w:rsidR="00813AAE" w:rsidRPr="009F3C37">
        <w:rPr>
          <w:color w:val="000000" w:themeColor="text1"/>
        </w:rPr>
        <w:t>holding</w:t>
      </w:r>
      <w:r w:rsidR="000C32CA" w:rsidRPr="009F3C37">
        <w:rPr>
          <w:color w:val="000000" w:themeColor="text1"/>
        </w:rPr>
        <w:t xml:space="preserve"> that </w:t>
      </w:r>
      <w:r w:rsidR="00813AAE" w:rsidRPr="009F3C37">
        <w:rPr>
          <w:color w:val="000000" w:themeColor="text1"/>
        </w:rPr>
        <w:t xml:space="preserve">transgender identity is not a suspect class by pointing out </w:t>
      </w:r>
      <w:r w:rsidR="004D2ED4" w:rsidRPr="009F3C37">
        <w:rPr>
          <w:color w:val="000000" w:themeColor="text1"/>
        </w:rPr>
        <w:t xml:space="preserve">that transgender </w:t>
      </w:r>
      <w:r w:rsidRPr="009F3C37">
        <w:rPr>
          <w:color w:val="000000" w:themeColor="text1"/>
        </w:rPr>
        <w:t>individuals</w:t>
      </w:r>
      <w:r w:rsidR="004D2ED4" w:rsidRPr="009F3C37">
        <w:rPr>
          <w:color w:val="000000" w:themeColor="text1"/>
        </w:rPr>
        <w:t xml:space="preserve"> are </w:t>
      </w:r>
      <w:r w:rsidR="00B73A1D" w:rsidRPr="009F3C37">
        <w:rPr>
          <w:color w:val="000000" w:themeColor="text1"/>
        </w:rPr>
        <w:t xml:space="preserve">not entirely politically powerless, </w:t>
      </w:r>
      <w:r w:rsidR="003C7462" w:rsidRPr="009F3C37">
        <w:rPr>
          <w:color w:val="000000" w:themeColor="text1"/>
        </w:rPr>
        <w:t xml:space="preserve">TD Lower Court Opinion at ¶ </w:t>
      </w:r>
      <w:r w:rsidR="00DF1B05" w:rsidRPr="009F3C37">
        <w:rPr>
          <w:color w:val="000000" w:themeColor="text1"/>
        </w:rPr>
        <w:t xml:space="preserve">120, </w:t>
      </w:r>
      <w:r w:rsidR="004D2ED4" w:rsidRPr="009F3C37">
        <w:rPr>
          <w:color w:val="000000" w:themeColor="text1"/>
        </w:rPr>
        <w:t xml:space="preserve">in </w:t>
      </w:r>
      <w:r w:rsidR="00D725EA" w:rsidRPr="009F3C37">
        <w:rPr>
          <w:i/>
          <w:iCs/>
        </w:rPr>
        <w:t>Breen v. Carlsbad</w:t>
      </w:r>
      <w:r w:rsidR="00994E54" w:rsidRPr="009F3C37">
        <w:t xml:space="preserve">, </w:t>
      </w:r>
      <w:r w:rsidR="00D725EA" w:rsidRPr="009F3C37">
        <w:t xml:space="preserve">the New Mexico Supreme Court </w:t>
      </w:r>
      <w:r w:rsidR="004D2ED4" w:rsidRPr="009F3C37">
        <w:t>held</w:t>
      </w:r>
      <w:r w:rsidR="0085572F" w:rsidRPr="009F3C37">
        <w:t xml:space="preserve"> </w:t>
      </w:r>
      <w:r w:rsidR="005B6101" w:rsidRPr="009F3C37">
        <w:t xml:space="preserve">that </w:t>
      </w:r>
      <w:r w:rsidR="00296428" w:rsidRPr="009F3C37">
        <w:t>mentally disabled people are</w:t>
      </w:r>
      <w:r w:rsidR="005B6101" w:rsidRPr="009F3C37">
        <w:t xml:space="preserve"> </w:t>
      </w:r>
      <w:r w:rsidR="00D6283F" w:rsidRPr="009F3C37">
        <w:t xml:space="preserve">a suspect class, </w:t>
      </w:r>
      <w:r w:rsidR="00B358BD" w:rsidRPr="009F3C37">
        <w:rPr>
          <w:color w:val="000000" w:themeColor="text1"/>
        </w:rPr>
        <w:t xml:space="preserve">despite </w:t>
      </w:r>
      <w:r w:rsidR="00D6283F" w:rsidRPr="009F3C37">
        <w:rPr>
          <w:color w:val="000000" w:themeColor="text1"/>
        </w:rPr>
        <w:t xml:space="preserve">a </w:t>
      </w:r>
      <w:r w:rsidR="00B358BD" w:rsidRPr="009F3C37">
        <w:rPr>
          <w:color w:val="000000" w:themeColor="text1"/>
        </w:rPr>
        <w:t>finding that</w:t>
      </w:r>
      <w:r w:rsidR="00D6283F" w:rsidRPr="009F3C37">
        <w:rPr>
          <w:color w:val="000000" w:themeColor="text1"/>
        </w:rPr>
        <w:t xml:space="preserve"> they are</w:t>
      </w:r>
      <w:r w:rsidR="00560991" w:rsidRPr="009F3C37">
        <w:rPr>
          <w:color w:val="000000" w:themeColor="text1"/>
        </w:rPr>
        <w:t xml:space="preserve"> </w:t>
      </w:r>
      <w:r w:rsidR="00F45F96" w:rsidRPr="009F3C37">
        <w:rPr>
          <w:color w:val="000000" w:themeColor="text1"/>
        </w:rPr>
        <w:t xml:space="preserve">“active participants in the political process” </w:t>
      </w:r>
      <w:r w:rsidR="00B358BD" w:rsidRPr="009F3C37">
        <w:rPr>
          <w:color w:val="000000" w:themeColor="text1"/>
        </w:rPr>
        <w:t xml:space="preserve">because </w:t>
      </w:r>
      <w:r w:rsidR="00F45F96" w:rsidRPr="009F3C37">
        <w:rPr>
          <w:color w:val="000000" w:themeColor="text1"/>
        </w:rPr>
        <w:t xml:space="preserve">“their effective advocacy is seriously hindered by the need to overcome the already deep-rooted prejudice against their integration in </w:t>
      </w:r>
      <w:commentRangeStart w:id="68"/>
      <w:r w:rsidR="00F45F96" w:rsidRPr="009F3C37">
        <w:rPr>
          <w:color w:val="000000" w:themeColor="text1"/>
        </w:rPr>
        <w:t>society</w:t>
      </w:r>
      <w:commentRangeEnd w:id="68"/>
      <w:r w:rsidR="009F3C37" w:rsidRPr="009F3C37">
        <w:rPr>
          <w:rStyle w:val="CommentReference"/>
          <w:color w:val="000000" w:themeColor="text1"/>
          <w:sz w:val="24"/>
          <w:szCs w:val="24"/>
        </w:rPr>
        <w:commentReference w:id="68"/>
      </w:r>
      <w:r w:rsidR="00F45F96" w:rsidRPr="009F3C37">
        <w:rPr>
          <w:color w:val="000000" w:themeColor="text1"/>
        </w:rPr>
        <w:t xml:space="preserve">.” </w:t>
      </w:r>
      <w:r w:rsidR="00D725EA" w:rsidRPr="009F3C37">
        <w:rPr>
          <w:color w:val="000000" w:themeColor="text1"/>
        </w:rPr>
        <w:t>38 N.M 331, ¶</w:t>
      </w:r>
      <w:r w:rsidR="00B358BD" w:rsidRPr="009F3C37">
        <w:rPr>
          <w:color w:val="000000" w:themeColor="text1"/>
        </w:rPr>
        <w:t xml:space="preserve"> </w:t>
      </w:r>
      <w:r w:rsidR="00D725EA" w:rsidRPr="009F3C37">
        <w:rPr>
          <w:color w:val="000000" w:themeColor="text1"/>
        </w:rPr>
        <w:t>29.</w:t>
      </w:r>
    </w:p>
    <w:p w14:paraId="3784D37E" w14:textId="2705668B" w:rsidR="00220562" w:rsidRPr="009F3C37" w:rsidRDefault="00770E48" w:rsidP="001D1D9F">
      <w:pPr>
        <w:spacing w:line="480" w:lineRule="auto"/>
        <w:ind w:firstLine="720"/>
        <w:jc w:val="both"/>
        <w:rPr>
          <w:color w:val="000000" w:themeColor="text1"/>
        </w:rPr>
      </w:pPr>
      <w:r w:rsidRPr="009F3C37">
        <w:rPr>
          <w:color w:val="000000" w:themeColor="text1"/>
        </w:rPr>
        <w:t>Other</w:t>
      </w:r>
      <w:r w:rsidR="00296428" w:rsidRPr="009F3C37">
        <w:rPr>
          <w:color w:val="000000" w:themeColor="text1"/>
        </w:rPr>
        <w:t xml:space="preserve"> s</w:t>
      </w:r>
      <w:r w:rsidR="00757E74" w:rsidRPr="009F3C37">
        <w:rPr>
          <w:color w:val="000000" w:themeColor="text1"/>
        </w:rPr>
        <w:t xml:space="preserve">tate courts </w:t>
      </w:r>
      <w:r w:rsidR="00B46642" w:rsidRPr="009F3C37">
        <w:rPr>
          <w:color w:val="000000" w:themeColor="text1"/>
        </w:rPr>
        <w:t xml:space="preserve">assess equality-based constitutional claims by </w:t>
      </w:r>
      <w:r w:rsidR="00757E74" w:rsidRPr="009F3C37">
        <w:rPr>
          <w:color w:val="000000" w:themeColor="text1"/>
        </w:rPr>
        <w:t>eschew</w:t>
      </w:r>
      <w:r w:rsidR="00B46642" w:rsidRPr="009F3C37">
        <w:rPr>
          <w:color w:val="000000" w:themeColor="text1"/>
        </w:rPr>
        <w:t>ing</w:t>
      </w:r>
      <w:r w:rsidR="00757E74" w:rsidRPr="009F3C37">
        <w:rPr>
          <w:color w:val="000000" w:themeColor="text1"/>
        </w:rPr>
        <w:t xml:space="preserve"> the tiered scrutiny </w:t>
      </w:r>
      <w:r w:rsidR="0092028C" w:rsidRPr="009F3C37">
        <w:rPr>
          <w:color w:val="000000" w:themeColor="text1"/>
        </w:rPr>
        <w:t>framework</w:t>
      </w:r>
      <w:r w:rsidR="00757E74" w:rsidRPr="009F3C37">
        <w:rPr>
          <w:color w:val="000000" w:themeColor="text1"/>
        </w:rPr>
        <w:t xml:space="preserve"> altogether</w:t>
      </w:r>
      <w:r w:rsidR="00701DFE" w:rsidRPr="009F3C37">
        <w:rPr>
          <w:color w:val="000000" w:themeColor="text1"/>
        </w:rPr>
        <w:t>, finding that state constitution</w:t>
      </w:r>
      <w:r w:rsidR="001E2FDA" w:rsidRPr="009F3C37">
        <w:rPr>
          <w:color w:val="000000" w:themeColor="text1"/>
        </w:rPr>
        <w:t>s</w:t>
      </w:r>
      <w:r w:rsidR="00701DFE" w:rsidRPr="009F3C37">
        <w:rPr>
          <w:color w:val="000000" w:themeColor="text1"/>
        </w:rPr>
        <w:t xml:space="preserve"> require a different </w:t>
      </w:r>
      <w:r w:rsidR="0092028C" w:rsidRPr="009F3C37">
        <w:rPr>
          <w:color w:val="000000" w:themeColor="text1"/>
        </w:rPr>
        <w:t>approach.</w:t>
      </w:r>
      <w:r w:rsidR="008F475F" w:rsidRPr="009F3C37">
        <w:rPr>
          <w:color w:val="000000" w:themeColor="text1"/>
        </w:rPr>
        <w:t xml:space="preserve"> </w:t>
      </w:r>
      <w:r w:rsidR="00017086" w:rsidRPr="009F3C37">
        <w:rPr>
          <w:i/>
          <w:iCs/>
          <w:color w:val="000000" w:themeColor="text1"/>
        </w:rPr>
        <w:t xml:space="preserve">See </w:t>
      </w:r>
      <w:r w:rsidR="00017086" w:rsidRPr="009F3C37">
        <w:rPr>
          <w:color w:val="000000" w:themeColor="text1"/>
        </w:rPr>
        <w:t xml:space="preserve">Sutton, </w:t>
      </w:r>
      <w:r w:rsidR="00017086" w:rsidRPr="009F3C37">
        <w:rPr>
          <w:i/>
          <w:iCs/>
          <w:color w:val="000000" w:themeColor="text1"/>
        </w:rPr>
        <w:t>51 Imperfect Solutions</w:t>
      </w:r>
      <w:r w:rsidR="00017086" w:rsidRPr="009F3C37">
        <w:rPr>
          <w:color w:val="000000" w:themeColor="text1"/>
        </w:rPr>
        <w:t>, at 18</w:t>
      </w:r>
      <w:r w:rsidR="007A5324" w:rsidRPr="009F3C37">
        <w:rPr>
          <w:color w:val="000000" w:themeColor="text1"/>
        </w:rPr>
        <w:t xml:space="preserve">. </w:t>
      </w:r>
      <w:r w:rsidR="0092028C" w:rsidRPr="009F3C37">
        <w:rPr>
          <w:color w:val="000000" w:themeColor="text1"/>
        </w:rPr>
        <w:t>For instance, after examin</w:t>
      </w:r>
      <w:r w:rsidR="002933B4" w:rsidRPr="009F3C37">
        <w:rPr>
          <w:color w:val="000000" w:themeColor="text1"/>
        </w:rPr>
        <w:t>in</w:t>
      </w:r>
      <w:r w:rsidR="0092028C" w:rsidRPr="009F3C37">
        <w:rPr>
          <w:color w:val="000000" w:themeColor="text1"/>
        </w:rPr>
        <w:t>g the constitutional language and history of Vermont’s Common Benefits Clause</w:t>
      </w:r>
      <w:r w:rsidR="00994E54" w:rsidRPr="009F3C37">
        <w:rPr>
          <w:color w:val="000000" w:themeColor="text1"/>
        </w:rPr>
        <w:t>—its closest analogue to the Equal Protection Clause—</w:t>
      </w:r>
      <w:r w:rsidR="0092028C" w:rsidRPr="009F3C37">
        <w:rPr>
          <w:color w:val="000000" w:themeColor="text1"/>
        </w:rPr>
        <w:t xml:space="preserve">the Vermont Supreme Court determined </w:t>
      </w:r>
      <w:r w:rsidR="002933B4" w:rsidRPr="009F3C37">
        <w:rPr>
          <w:color w:val="000000" w:themeColor="text1"/>
        </w:rPr>
        <w:t>th</w:t>
      </w:r>
      <w:r w:rsidR="0028740F" w:rsidRPr="009F3C37">
        <w:rPr>
          <w:color w:val="000000" w:themeColor="text1"/>
        </w:rPr>
        <w:t xml:space="preserve">at the </w:t>
      </w:r>
      <w:r w:rsidR="002933B4" w:rsidRPr="009F3C37">
        <w:rPr>
          <w:color w:val="000000" w:themeColor="text1"/>
        </w:rPr>
        <w:t>“inclusion</w:t>
      </w:r>
      <w:r w:rsidR="0028740F" w:rsidRPr="009F3C37">
        <w:rPr>
          <w:color w:val="000000" w:themeColor="text1"/>
        </w:rPr>
        <w:t>ary</w:t>
      </w:r>
      <w:r w:rsidR="002933B4" w:rsidRPr="009F3C37">
        <w:rPr>
          <w:color w:val="000000" w:themeColor="text1"/>
        </w:rPr>
        <w:t xml:space="preserve"> principle at its core[] must govern . . . analysis of laws challenged under the Clause</w:t>
      </w:r>
      <w:r w:rsidRPr="009F3C37">
        <w:rPr>
          <w:color w:val="000000" w:themeColor="text1"/>
        </w:rPr>
        <w:t>,</w:t>
      </w:r>
      <w:r w:rsidR="002933B4" w:rsidRPr="009F3C37">
        <w:rPr>
          <w:color w:val="000000" w:themeColor="text1"/>
        </w:rPr>
        <w:t xml:space="preserve">” </w:t>
      </w:r>
      <w:r w:rsidR="00994E54" w:rsidRPr="009F3C37">
        <w:rPr>
          <w:color w:val="000000" w:themeColor="text1"/>
        </w:rPr>
        <w:t>abandoned</w:t>
      </w:r>
      <w:r w:rsidRPr="009F3C37">
        <w:rPr>
          <w:color w:val="000000" w:themeColor="text1"/>
        </w:rPr>
        <w:t xml:space="preserve"> the federal </w:t>
      </w:r>
      <w:r w:rsidR="009449FB" w:rsidRPr="009F3C37">
        <w:rPr>
          <w:color w:val="000000" w:themeColor="text1"/>
        </w:rPr>
        <w:t>tiers of scrutiny</w:t>
      </w:r>
      <w:r w:rsidRPr="009F3C37">
        <w:rPr>
          <w:color w:val="000000" w:themeColor="text1"/>
        </w:rPr>
        <w:t xml:space="preserve">, and </w:t>
      </w:r>
      <w:r w:rsidR="002933B4" w:rsidRPr="009F3C37">
        <w:rPr>
          <w:color w:val="000000" w:themeColor="text1"/>
        </w:rPr>
        <w:t xml:space="preserve">adopted a </w:t>
      </w:r>
      <w:r w:rsidR="007E114B" w:rsidRPr="009F3C37">
        <w:rPr>
          <w:color w:val="000000" w:themeColor="text1"/>
        </w:rPr>
        <w:t>balancing test.</w:t>
      </w:r>
      <w:r w:rsidR="00184F95" w:rsidRPr="009F3C37">
        <w:rPr>
          <w:color w:val="000000" w:themeColor="text1"/>
        </w:rPr>
        <w:t xml:space="preserve"> </w:t>
      </w:r>
      <w:r w:rsidR="00FB4463" w:rsidRPr="009F3C37">
        <w:rPr>
          <w:i/>
          <w:iCs/>
          <w:color w:val="000000" w:themeColor="text1"/>
        </w:rPr>
        <w:t>Baker v. State</w:t>
      </w:r>
      <w:r w:rsidR="00FB4463" w:rsidRPr="009F3C37">
        <w:rPr>
          <w:color w:val="000000" w:themeColor="text1"/>
        </w:rPr>
        <w:t>, 170 Vt. 194</w:t>
      </w:r>
      <w:r w:rsidR="00FB4463" w:rsidRPr="009F3C37">
        <w:rPr>
          <w:i/>
          <w:iCs/>
          <w:color w:val="000000" w:themeColor="text1"/>
        </w:rPr>
        <w:t xml:space="preserve"> </w:t>
      </w:r>
      <w:r w:rsidR="00FB4463" w:rsidRPr="009F3C37">
        <w:rPr>
          <w:color w:val="000000" w:themeColor="text1"/>
        </w:rPr>
        <w:t xml:space="preserve">(1999). </w:t>
      </w:r>
      <w:r w:rsidR="002933B4" w:rsidRPr="009F3C37">
        <w:rPr>
          <w:i/>
          <w:iCs/>
          <w:color w:val="000000" w:themeColor="text1"/>
        </w:rPr>
        <w:t xml:space="preserve">See </w:t>
      </w:r>
      <w:r w:rsidR="00DA5810" w:rsidRPr="009F3C37">
        <w:rPr>
          <w:i/>
          <w:iCs/>
          <w:color w:val="000000" w:themeColor="text1"/>
        </w:rPr>
        <w:t>also</w:t>
      </w:r>
      <w:r w:rsidR="005E3B6F" w:rsidRPr="009F3C37">
        <w:rPr>
          <w:color w:val="000000" w:themeColor="text1"/>
        </w:rPr>
        <w:t xml:space="preserve"> </w:t>
      </w:r>
      <w:r w:rsidR="00CD23DE" w:rsidRPr="009F3C37">
        <w:rPr>
          <w:i/>
          <w:iCs/>
          <w:color w:val="000000" w:themeColor="text1"/>
        </w:rPr>
        <w:t>Application of Bettine</w:t>
      </w:r>
      <w:r w:rsidR="00CD23DE" w:rsidRPr="009F3C37">
        <w:rPr>
          <w:color w:val="000000" w:themeColor="text1"/>
        </w:rPr>
        <w:t>, 840 P.2d 994, 998 (Alaska</w:t>
      </w:r>
      <w:r w:rsidR="0092028C" w:rsidRPr="009F3C37">
        <w:rPr>
          <w:color w:val="000000" w:themeColor="text1"/>
        </w:rPr>
        <w:t xml:space="preserve">, </w:t>
      </w:r>
      <w:r w:rsidR="00CD23DE" w:rsidRPr="009F3C37">
        <w:rPr>
          <w:color w:val="000000" w:themeColor="text1"/>
        </w:rPr>
        <w:lastRenderedPageBreak/>
        <w:t>1992) (Compton, J., dissenting) (acknowledging that the Alaska Supreme Court’s “discontent</w:t>
      </w:r>
      <w:r w:rsidR="0028740F" w:rsidRPr="009F3C37">
        <w:rPr>
          <w:color w:val="000000" w:themeColor="text1"/>
        </w:rPr>
        <w:t xml:space="preserve">” with the rigidity of federal </w:t>
      </w:r>
      <w:r w:rsidR="00CD23DE" w:rsidRPr="009F3C37">
        <w:rPr>
          <w:color w:val="000000" w:themeColor="text1"/>
        </w:rPr>
        <w:t xml:space="preserve">equal protection analysis prompted </w:t>
      </w:r>
      <w:r w:rsidR="003759D8" w:rsidRPr="009F3C37">
        <w:rPr>
          <w:color w:val="000000" w:themeColor="text1"/>
        </w:rPr>
        <w:t>it</w:t>
      </w:r>
      <w:r w:rsidR="00CD23DE" w:rsidRPr="009F3C37">
        <w:rPr>
          <w:color w:val="000000" w:themeColor="text1"/>
        </w:rPr>
        <w:t xml:space="preserve"> to adopt “a single flexible test” for equal protection claims that “provides varying levels of scrutiny depending on the importance of the right involved”)</w:t>
      </w:r>
      <w:r w:rsidR="00FC7DA7" w:rsidRPr="009F3C37">
        <w:rPr>
          <w:color w:val="000000" w:themeColor="text1"/>
        </w:rPr>
        <w:t>.</w:t>
      </w:r>
    </w:p>
    <w:p w14:paraId="1A0DFD7D" w14:textId="0A06A2CF" w:rsidR="00476B54" w:rsidRPr="009F3C37" w:rsidRDefault="00FC7DA7" w:rsidP="002E276B">
      <w:pPr>
        <w:spacing w:line="480" w:lineRule="auto"/>
        <w:ind w:firstLine="720"/>
        <w:jc w:val="both"/>
        <w:rPr>
          <w:color w:val="000000" w:themeColor="text1"/>
        </w:rPr>
      </w:pPr>
      <w:commentRangeStart w:id="69"/>
      <w:commentRangeStart w:id="70"/>
      <w:commentRangeStart w:id="71"/>
      <w:r w:rsidRPr="009F3C37">
        <w:rPr>
          <w:color w:val="000000" w:themeColor="text1"/>
        </w:rPr>
        <w:t>Similarly,</w:t>
      </w:r>
      <w:r w:rsidR="002933B4" w:rsidRPr="009F3C37">
        <w:rPr>
          <w:color w:val="000000" w:themeColor="text1"/>
        </w:rPr>
        <w:t xml:space="preserve"> state courts </w:t>
      </w:r>
      <w:r w:rsidR="005E3E43" w:rsidRPr="009F3C37">
        <w:rPr>
          <w:color w:val="000000" w:themeColor="text1"/>
        </w:rPr>
        <w:t xml:space="preserve">have </w:t>
      </w:r>
      <w:r w:rsidRPr="009F3C37">
        <w:rPr>
          <w:color w:val="000000" w:themeColor="text1"/>
        </w:rPr>
        <w:t>adopted</w:t>
      </w:r>
      <w:r w:rsidR="002933B4" w:rsidRPr="009F3C37">
        <w:rPr>
          <w:color w:val="000000" w:themeColor="text1"/>
        </w:rPr>
        <w:t xml:space="preserve"> framework</w:t>
      </w:r>
      <w:r w:rsidR="005E3E43" w:rsidRPr="009F3C37">
        <w:rPr>
          <w:color w:val="000000" w:themeColor="text1"/>
        </w:rPr>
        <w:t>s</w:t>
      </w:r>
      <w:r w:rsidR="002933B4" w:rsidRPr="009F3C37">
        <w:rPr>
          <w:color w:val="000000" w:themeColor="text1"/>
        </w:rPr>
        <w:t xml:space="preserve"> </w:t>
      </w:r>
      <w:r w:rsidR="005E3E43" w:rsidRPr="009F3C37">
        <w:rPr>
          <w:color w:val="000000" w:themeColor="text1"/>
        </w:rPr>
        <w:t>for</w:t>
      </w:r>
      <w:r w:rsidR="002933B4" w:rsidRPr="009F3C37">
        <w:rPr>
          <w:color w:val="000000" w:themeColor="text1"/>
        </w:rPr>
        <w:t xml:space="preserve"> determin</w:t>
      </w:r>
      <w:r w:rsidR="005E3E43" w:rsidRPr="009F3C37">
        <w:rPr>
          <w:color w:val="000000" w:themeColor="text1"/>
        </w:rPr>
        <w:t>ing</w:t>
      </w:r>
      <w:r w:rsidR="002933B4" w:rsidRPr="009F3C37">
        <w:rPr>
          <w:color w:val="000000" w:themeColor="text1"/>
        </w:rPr>
        <w:t xml:space="preserve"> whether a right should be deemed fundamental</w:t>
      </w:r>
      <w:r w:rsidR="00994E54" w:rsidRPr="009F3C37">
        <w:rPr>
          <w:color w:val="000000" w:themeColor="text1"/>
        </w:rPr>
        <w:t xml:space="preserve"> </w:t>
      </w:r>
      <w:r w:rsidR="005E3E43" w:rsidRPr="009F3C37">
        <w:rPr>
          <w:color w:val="000000" w:themeColor="text1"/>
        </w:rPr>
        <w:t xml:space="preserve">that align </w:t>
      </w:r>
      <w:r w:rsidR="00C27A2F" w:rsidRPr="009F3C37">
        <w:rPr>
          <w:color w:val="000000" w:themeColor="text1"/>
        </w:rPr>
        <w:t xml:space="preserve">better </w:t>
      </w:r>
      <w:r w:rsidR="005E3E43" w:rsidRPr="009F3C37">
        <w:rPr>
          <w:color w:val="000000" w:themeColor="text1"/>
        </w:rPr>
        <w:t xml:space="preserve">with </w:t>
      </w:r>
      <w:r w:rsidR="00C100CA">
        <w:rPr>
          <w:color w:val="000000" w:themeColor="text1"/>
        </w:rPr>
        <w:t>the overlapping protections of a</w:t>
      </w:r>
      <w:r w:rsidR="007D4D09" w:rsidRPr="009F3C37">
        <w:rPr>
          <w:color w:val="000000" w:themeColor="text1"/>
        </w:rPr>
        <w:t xml:space="preserve"> state constitution</w:t>
      </w:r>
      <w:r w:rsidR="00C27A2F" w:rsidRPr="009F3C37">
        <w:rPr>
          <w:color w:val="000000" w:themeColor="text1"/>
        </w:rPr>
        <w:t xml:space="preserve"> than the prevailing federal test.</w:t>
      </w:r>
      <w:r w:rsidR="00175621" w:rsidRPr="009F3C37">
        <w:rPr>
          <w:color w:val="000000" w:themeColor="text1"/>
        </w:rPr>
        <w:t xml:space="preserve"> </w:t>
      </w:r>
      <w:r w:rsidR="009143EA" w:rsidRPr="009F3C37">
        <w:rPr>
          <w:color w:val="000000" w:themeColor="text1"/>
        </w:rPr>
        <w:t>For example, i</w:t>
      </w:r>
      <w:r w:rsidR="00175621" w:rsidRPr="009F3C37">
        <w:rPr>
          <w:color w:val="000000" w:themeColor="text1"/>
        </w:rPr>
        <w:t xml:space="preserve">n </w:t>
      </w:r>
      <w:r w:rsidR="00175621" w:rsidRPr="009F3C37">
        <w:rPr>
          <w:i/>
          <w:iCs/>
          <w:color w:val="000000" w:themeColor="text1"/>
        </w:rPr>
        <w:t>Kligler v. Attorney General</w:t>
      </w:r>
      <w:r w:rsidR="00175621" w:rsidRPr="009F3C37">
        <w:rPr>
          <w:color w:val="000000" w:themeColor="text1"/>
        </w:rPr>
        <w:t xml:space="preserve">, the Massachusetts Supreme Judicial Court </w:t>
      </w:r>
      <w:r w:rsidR="00937530" w:rsidRPr="009F3C37">
        <w:rPr>
          <w:color w:val="000000" w:themeColor="text1"/>
        </w:rPr>
        <w:t xml:space="preserve">found </w:t>
      </w:r>
      <w:r w:rsidR="00AD374C" w:rsidRPr="009F3C37">
        <w:rPr>
          <w:color w:val="000000" w:themeColor="text1"/>
        </w:rPr>
        <w:t>t</w:t>
      </w:r>
      <w:r w:rsidR="00937530" w:rsidRPr="009F3C37">
        <w:rPr>
          <w:color w:val="000000" w:themeColor="text1"/>
        </w:rPr>
        <w:t xml:space="preserve">he prevailing federal fundamental rights framework </w:t>
      </w:r>
      <w:r w:rsidR="00475D71" w:rsidRPr="009F3C37">
        <w:rPr>
          <w:color w:val="000000" w:themeColor="text1"/>
        </w:rPr>
        <w:t>inconsistent</w:t>
      </w:r>
      <w:r w:rsidR="00937530" w:rsidRPr="009F3C37">
        <w:rPr>
          <w:color w:val="000000" w:themeColor="text1"/>
        </w:rPr>
        <w:t xml:space="preserve"> with its constitution</w:t>
      </w:r>
      <w:r w:rsidR="00691923">
        <w:rPr>
          <w:color w:val="000000" w:themeColor="text1"/>
        </w:rPr>
        <w:t xml:space="preserve"> </w:t>
      </w:r>
      <w:r w:rsidR="00691923" w:rsidRPr="009F3C37">
        <w:rPr>
          <w:color w:val="000000" w:themeColor="text1"/>
        </w:rPr>
        <w:t>where “[a] right intersects with an equality interests</w:t>
      </w:r>
      <w:r w:rsidR="00691923">
        <w:rPr>
          <w:color w:val="000000" w:themeColor="text1"/>
        </w:rPr>
        <w:t xml:space="preserve">.” </w:t>
      </w:r>
      <w:r w:rsidR="00691923" w:rsidRPr="009F3C37">
        <w:rPr>
          <w:color w:val="000000" w:themeColor="text1"/>
        </w:rPr>
        <w:t>491 Mass. 38, 57, 58 (2015).</w:t>
      </w:r>
      <w:r w:rsidR="00402C29">
        <w:rPr>
          <w:color w:val="000000" w:themeColor="text1"/>
        </w:rPr>
        <w:t xml:space="preserve"> </w:t>
      </w:r>
      <w:r w:rsidR="0097549C" w:rsidRPr="009F3C37">
        <w:rPr>
          <w:color w:val="000000" w:themeColor="text1"/>
        </w:rPr>
        <w:t xml:space="preserve">In its place it developed a test </w:t>
      </w:r>
      <w:r w:rsidR="002E276B" w:rsidRPr="009F3C37">
        <w:rPr>
          <w:color w:val="000000" w:themeColor="text1"/>
        </w:rPr>
        <w:t xml:space="preserve">requiring </w:t>
      </w:r>
      <w:r w:rsidR="003E651C" w:rsidRPr="009F3C37">
        <w:rPr>
          <w:color w:val="000000" w:themeColor="text1"/>
        </w:rPr>
        <w:t xml:space="preserve">judges </w:t>
      </w:r>
      <w:r w:rsidR="00691923">
        <w:rPr>
          <w:color w:val="000000" w:themeColor="text1"/>
        </w:rPr>
        <w:t>to</w:t>
      </w:r>
      <w:r w:rsidR="00E82AEA">
        <w:rPr>
          <w:color w:val="000000" w:themeColor="text1"/>
        </w:rPr>
        <w:t xml:space="preserve"> </w:t>
      </w:r>
      <w:r w:rsidR="002E276B" w:rsidRPr="009F3C37">
        <w:rPr>
          <w:color w:val="000000" w:themeColor="text1"/>
        </w:rPr>
        <w:t>“exercise reasoned judgment to identify interests of persons so fundamental that the State must accord them its respect</w:t>
      </w:r>
      <w:r w:rsidR="003E651C" w:rsidRPr="009F3C37">
        <w:rPr>
          <w:color w:val="000000" w:themeColor="text1"/>
        </w:rPr>
        <w:t>,</w:t>
      </w:r>
      <w:r w:rsidR="002E276B" w:rsidRPr="009F3C37">
        <w:rPr>
          <w:color w:val="000000" w:themeColor="text1"/>
        </w:rPr>
        <w:t>”</w:t>
      </w:r>
      <w:r w:rsidR="003E651C" w:rsidRPr="009F3C37">
        <w:rPr>
          <w:color w:val="000000" w:themeColor="text1"/>
        </w:rPr>
        <w:t xml:space="preserve"> </w:t>
      </w:r>
      <w:r w:rsidR="00725FC8" w:rsidRPr="009F3C37">
        <w:rPr>
          <w:color w:val="000000" w:themeColor="text1"/>
        </w:rPr>
        <w:t>and</w:t>
      </w:r>
      <w:r w:rsidR="00572354" w:rsidRPr="009F3C37">
        <w:rPr>
          <w:color w:val="000000" w:themeColor="text1"/>
        </w:rPr>
        <w:t xml:space="preserve"> </w:t>
      </w:r>
      <w:r w:rsidR="00E30000" w:rsidRPr="009F3C37">
        <w:rPr>
          <w:color w:val="000000" w:themeColor="text1"/>
        </w:rPr>
        <w:t>defin</w:t>
      </w:r>
      <w:r w:rsidR="005E3E43" w:rsidRPr="009F3C37">
        <w:rPr>
          <w:color w:val="000000" w:themeColor="text1"/>
        </w:rPr>
        <w:t>e</w:t>
      </w:r>
      <w:r w:rsidR="00170724" w:rsidRPr="009F3C37">
        <w:rPr>
          <w:color w:val="000000" w:themeColor="text1"/>
        </w:rPr>
        <w:t xml:space="preserve"> the</w:t>
      </w:r>
      <w:r w:rsidR="00E30000" w:rsidRPr="009F3C37">
        <w:rPr>
          <w:color w:val="000000" w:themeColor="text1"/>
        </w:rPr>
        <w:t xml:space="preserve"> right “at a higher level of generality”</w:t>
      </w:r>
      <w:r w:rsidR="005E3E43" w:rsidRPr="009F3C37">
        <w:rPr>
          <w:color w:val="000000" w:themeColor="text1"/>
        </w:rPr>
        <w:t xml:space="preserve"> </w:t>
      </w:r>
      <w:r w:rsidR="00E30000" w:rsidRPr="009F3C37">
        <w:rPr>
          <w:color w:val="000000" w:themeColor="text1"/>
        </w:rPr>
        <w:t xml:space="preserve">to </w:t>
      </w:r>
      <w:r w:rsidR="005E6C09" w:rsidRPr="009F3C37">
        <w:rPr>
          <w:color w:val="000000" w:themeColor="text1"/>
        </w:rPr>
        <w:t>“</w:t>
      </w:r>
      <w:r w:rsidR="00E30000" w:rsidRPr="009F3C37">
        <w:rPr>
          <w:color w:val="000000" w:themeColor="text1"/>
        </w:rPr>
        <w:t xml:space="preserve">strip [the right] of the particulars of who is exercising it . . . in an effort to avoid invidious discrimination.” </w:t>
      </w:r>
      <w:r w:rsidR="00FF18BD" w:rsidRPr="009F3C37">
        <w:rPr>
          <w:color w:val="000000" w:themeColor="text1"/>
        </w:rPr>
        <w:t>491 Mass. 38, 57, 58 (2015).</w:t>
      </w:r>
      <w:r w:rsidR="005E3E43" w:rsidRPr="009F3C37">
        <w:rPr>
          <w:i/>
          <w:iCs/>
          <w:color w:val="000000" w:themeColor="text1"/>
        </w:rPr>
        <w:t xml:space="preserve"> </w:t>
      </w:r>
      <w:r w:rsidR="00E63CCC" w:rsidRPr="009F3C37">
        <w:rPr>
          <w:color w:val="000000" w:themeColor="text1"/>
        </w:rPr>
        <w:t xml:space="preserve">To the extent this Court believes the interests at stake </w:t>
      </w:r>
      <w:r w:rsidR="00585640" w:rsidRPr="009F3C37">
        <w:rPr>
          <w:color w:val="000000" w:themeColor="text1"/>
        </w:rPr>
        <w:t xml:space="preserve">in this case </w:t>
      </w:r>
      <w:r w:rsidR="00E63CCC" w:rsidRPr="009F3C37">
        <w:rPr>
          <w:color w:val="000000" w:themeColor="text1"/>
        </w:rPr>
        <w:t xml:space="preserve">implicate both liberty and equality, it should </w:t>
      </w:r>
      <w:r w:rsidR="00CF1389" w:rsidRPr="009F3C37">
        <w:rPr>
          <w:color w:val="000000" w:themeColor="text1"/>
        </w:rPr>
        <w:t xml:space="preserve">take care to </w:t>
      </w:r>
      <w:r w:rsidR="00E63CCC" w:rsidRPr="009F3C37">
        <w:rPr>
          <w:color w:val="000000" w:themeColor="text1"/>
        </w:rPr>
        <w:t xml:space="preserve">avoid defining the right at issue so narrowly as to inadvertently perpetuate discrimination </w:t>
      </w:r>
      <w:r w:rsidR="00EF36C0" w:rsidRPr="009F3C37">
        <w:rPr>
          <w:color w:val="000000" w:themeColor="text1"/>
        </w:rPr>
        <w:t>against</w:t>
      </w:r>
      <w:r w:rsidR="00E63CCC" w:rsidRPr="009F3C37">
        <w:rPr>
          <w:color w:val="000000" w:themeColor="text1"/>
        </w:rPr>
        <w:t xml:space="preserve"> those seeking to exercise it.</w:t>
      </w:r>
      <w:commentRangeEnd w:id="69"/>
      <w:r w:rsidR="009F3C37" w:rsidRPr="009F3C37">
        <w:rPr>
          <w:rStyle w:val="CommentReference"/>
          <w:color w:val="000000" w:themeColor="text1"/>
          <w:sz w:val="24"/>
          <w:szCs w:val="24"/>
        </w:rPr>
        <w:commentReference w:id="69"/>
      </w:r>
      <w:commentRangeEnd w:id="70"/>
      <w:r w:rsidR="00AF214D" w:rsidRPr="009F3C37">
        <w:rPr>
          <w:rStyle w:val="CommentReference"/>
          <w:color w:val="000000" w:themeColor="text1"/>
          <w:sz w:val="24"/>
          <w:szCs w:val="24"/>
        </w:rPr>
        <w:commentReference w:id="70"/>
      </w:r>
      <w:commentRangeEnd w:id="71"/>
      <w:r w:rsidR="002072A6" w:rsidRPr="009F3C37">
        <w:rPr>
          <w:rStyle w:val="CommentReference"/>
          <w:color w:val="000000" w:themeColor="text1"/>
          <w:sz w:val="24"/>
          <w:szCs w:val="24"/>
        </w:rPr>
        <w:commentReference w:id="71"/>
      </w:r>
    </w:p>
    <w:p w14:paraId="130E3556" w14:textId="2DD4BB2F" w:rsidR="008E402A" w:rsidRPr="009F3C37" w:rsidRDefault="008E402A" w:rsidP="00751CAC">
      <w:pPr>
        <w:pStyle w:val="Heading1"/>
        <w:spacing w:line="480" w:lineRule="auto"/>
        <w:jc w:val="center"/>
        <w:rPr>
          <w:rFonts w:cs="Times New Roman"/>
          <w:b/>
          <w:bCs/>
          <w:szCs w:val="24"/>
          <w:u w:val="single"/>
        </w:rPr>
      </w:pPr>
      <w:bookmarkStart w:id="72" w:name="_Toc225513555"/>
      <w:r w:rsidRPr="009F3C37">
        <w:rPr>
          <w:rFonts w:cs="Times New Roman"/>
          <w:b/>
          <w:bCs/>
          <w:szCs w:val="24"/>
          <w:u w:val="single"/>
        </w:rPr>
        <w:t>CONCLUSION</w:t>
      </w:r>
      <w:bookmarkEnd w:id="72"/>
    </w:p>
    <w:p w14:paraId="382754AA" w14:textId="32084A93" w:rsidR="00A20CB7" w:rsidRPr="009F3C37" w:rsidRDefault="00AF4970" w:rsidP="00AF4970">
      <w:pPr>
        <w:spacing w:line="480" w:lineRule="auto"/>
        <w:ind w:firstLine="720"/>
        <w:jc w:val="both"/>
        <w:rPr>
          <w:color w:val="000000" w:themeColor="text1"/>
        </w:rPr>
      </w:pPr>
      <w:r w:rsidRPr="009F3C37">
        <w:rPr>
          <w:color w:val="000000" w:themeColor="text1"/>
        </w:rPr>
        <w:t>The decision below</w:t>
      </w:r>
      <w:r w:rsidR="006E5B19" w:rsidRPr="009F3C37">
        <w:rPr>
          <w:color w:val="000000" w:themeColor="text1"/>
        </w:rPr>
        <w:t xml:space="preserve"> acknowledge</w:t>
      </w:r>
      <w:r w:rsidRPr="009F3C37">
        <w:rPr>
          <w:color w:val="000000" w:themeColor="text1"/>
        </w:rPr>
        <w:t>d</w:t>
      </w:r>
      <w:r w:rsidR="006E5B19" w:rsidRPr="009F3C37">
        <w:rPr>
          <w:color w:val="000000" w:themeColor="text1"/>
        </w:rPr>
        <w:t xml:space="preserve"> the independen</w:t>
      </w:r>
      <w:r w:rsidRPr="009F3C37">
        <w:rPr>
          <w:color w:val="000000" w:themeColor="text1"/>
        </w:rPr>
        <w:t>ce</w:t>
      </w:r>
      <w:r w:rsidR="006E5B19" w:rsidRPr="009F3C37">
        <w:rPr>
          <w:color w:val="000000" w:themeColor="text1"/>
        </w:rPr>
        <w:t xml:space="preserve"> of North Dakota’s Constitution</w:t>
      </w:r>
      <w:r w:rsidR="00FF7B6D" w:rsidRPr="009F3C37">
        <w:rPr>
          <w:color w:val="000000" w:themeColor="text1"/>
        </w:rPr>
        <w:t xml:space="preserve"> but </w:t>
      </w:r>
      <w:r w:rsidR="004A53ED" w:rsidRPr="009F3C37">
        <w:rPr>
          <w:color w:val="000000" w:themeColor="text1"/>
        </w:rPr>
        <w:t>read</w:t>
      </w:r>
      <w:r w:rsidR="004A04A3" w:rsidRPr="009F3C37">
        <w:rPr>
          <w:color w:val="000000" w:themeColor="text1"/>
        </w:rPr>
        <w:t xml:space="preserve"> prior pronouncements by this court </w:t>
      </w:r>
      <w:r w:rsidR="001821A5" w:rsidRPr="009F3C37">
        <w:rPr>
          <w:color w:val="000000" w:themeColor="text1"/>
        </w:rPr>
        <w:t xml:space="preserve">to favor </w:t>
      </w:r>
      <w:r w:rsidR="004A04A3" w:rsidRPr="009F3C37">
        <w:rPr>
          <w:color w:val="000000" w:themeColor="text1"/>
        </w:rPr>
        <w:t xml:space="preserve">aligning North Dakota’s </w:t>
      </w:r>
      <w:r w:rsidR="00E135EF" w:rsidRPr="009F3C37">
        <w:rPr>
          <w:color w:val="000000" w:themeColor="text1"/>
        </w:rPr>
        <w:t>privileges</w:t>
      </w:r>
      <w:r w:rsidR="004A04A3" w:rsidRPr="009F3C37">
        <w:rPr>
          <w:color w:val="000000" w:themeColor="text1"/>
        </w:rPr>
        <w:t xml:space="preserve"> and immunities clause with the federal Equal Protection Clause.</w:t>
      </w:r>
      <w:r w:rsidR="006E5B19" w:rsidRPr="009F3C37">
        <w:rPr>
          <w:color w:val="000000" w:themeColor="text1"/>
        </w:rPr>
        <w:t xml:space="preserve"> </w:t>
      </w:r>
      <w:r w:rsidR="005D513B" w:rsidRPr="009F3C37">
        <w:rPr>
          <w:color w:val="000000" w:themeColor="text1"/>
        </w:rPr>
        <w:t>This Court</w:t>
      </w:r>
      <w:r w:rsidR="004A04A3" w:rsidRPr="009F3C37">
        <w:rPr>
          <w:color w:val="000000" w:themeColor="text1"/>
        </w:rPr>
        <w:t xml:space="preserve"> </w:t>
      </w:r>
      <w:r w:rsidR="00585640" w:rsidRPr="009F3C37">
        <w:rPr>
          <w:color w:val="000000" w:themeColor="text1"/>
        </w:rPr>
        <w:t xml:space="preserve">should </w:t>
      </w:r>
      <w:r w:rsidR="004A04A3" w:rsidRPr="009F3C37">
        <w:rPr>
          <w:color w:val="000000" w:themeColor="text1"/>
        </w:rPr>
        <w:t>take this opportunity</w:t>
      </w:r>
      <w:r w:rsidR="005D513B" w:rsidRPr="009F3C37">
        <w:rPr>
          <w:color w:val="000000" w:themeColor="text1"/>
        </w:rPr>
        <w:t xml:space="preserve"> </w:t>
      </w:r>
      <w:r w:rsidR="00585640" w:rsidRPr="009F3C37">
        <w:rPr>
          <w:color w:val="000000" w:themeColor="text1"/>
        </w:rPr>
        <w:t xml:space="preserve">to </w:t>
      </w:r>
      <w:r w:rsidR="00EF653F" w:rsidRPr="009F3C37">
        <w:rPr>
          <w:color w:val="000000" w:themeColor="text1"/>
        </w:rPr>
        <w:t xml:space="preserve">affirm its commitment to </w:t>
      </w:r>
      <w:r w:rsidR="004A04A3" w:rsidRPr="009F3C37">
        <w:rPr>
          <w:color w:val="000000" w:themeColor="text1"/>
        </w:rPr>
        <w:t xml:space="preserve">independent enforcement of North </w:t>
      </w:r>
      <w:r w:rsidR="004A04A3" w:rsidRPr="009F3C37">
        <w:rPr>
          <w:color w:val="000000" w:themeColor="text1"/>
        </w:rPr>
        <w:lastRenderedPageBreak/>
        <w:t>Dakota’s constitution</w:t>
      </w:r>
      <w:r w:rsidR="00EF653F" w:rsidRPr="009F3C37">
        <w:rPr>
          <w:color w:val="000000" w:themeColor="text1"/>
        </w:rPr>
        <w:t xml:space="preserve"> by </w:t>
      </w:r>
      <w:r w:rsidR="005D513B" w:rsidRPr="009F3C37">
        <w:rPr>
          <w:color w:val="000000" w:themeColor="text1"/>
        </w:rPr>
        <w:t>clarify</w:t>
      </w:r>
      <w:r w:rsidR="00EF653F" w:rsidRPr="009F3C37">
        <w:rPr>
          <w:color w:val="000000" w:themeColor="text1"/>
        </w:rPr>
        <w:t>ing</w:t>
      </w:r>
      <w:r w:rsidR="005D513B" w:rsidRPr="009F3C37">
        <w:rPr>
          <w:color w:val="000000" w:themeColor="text1"/>
        </w:rPr>
        <w:t xml:space="preserve"> that </w:t>
      </w:r>
      <w:r w:rsidR="00284DE4" w:rsidRPr="009F3C37">
        <w:rPr>
          <w:color w:val="000000" w:themeColor="text1"/>
        </w:rPr>
        <w:t xml:space="preserve">North Dakota courts </w:t>
      </w:r>
      <w:r w:rsidR="00EF653F" w:rsidRPr="009F3C37">
        <w:rPr>
          <w:color w:val="000000" w:themeColor="text1"/>
        </w:rPr>
        <w:t>should not</w:t>
      </w:r>
      <w:r w:rsidR="00284DE4" w:rsidRPr="009F3C37">
        <w:rPr>
          <w:color w:val="000000" w:themeColor="text1"/>
        </w:rPr>
        <w:t xml:space="preserve"> presumptively align North Dakota’s constitutional protections with the federal constitution</w:t>
      </w:r>
      <w:r w:rsidR="0022430D" w:rsidRPr="009F3C37">
        <w:rPr>
          <w:color w:val="000000" w:themeColor="text1"/>
        </w:rPr>
        <w:t>.</w:t>
      </w:r>
      <w:r w:rsidR="00EF653F" w:rsidRPr="009F3C37">
        <w:rPr>
          <w:color w:val="000000" w:themeColor="text1"/>
        </w:rPr>
        <w:t xml:space="preserve"> </w:t>
      </w:r>
    </w:p>
    <w:sectPr w:rsidR="00A20CB7" w:rsidRPr="009F3C37" w:rsidSect="008E402A">
      <w:footerReference w:type="even" r:id="rId12"/>
      <w:footerReference w:type="default" r:id="rId13"/>
      <w:pgSz w:w="12240" w:h="15840"/>
      <w:pgMar w:top="1440" w:right="1440" w:bottom="1440" w:left="216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licia Bannon" w:date="2026-03-28T21:26:00Z" w:initials="AB">
    <w:p w14:paraId="3AA93F22" w14:textId="77777777" w:rsidR="004D709C" w:rsidRDefault="004D709C" w:rsidP="004D709C">
      <w:pPr>
        <w:pStyle w:val="CommentText"/>
      </w:pPr>
      <w:r>
        <w:rPr>
          <w:rStyle w:val="CommentReference"/>
        </w:rPr>
        <w:annotationRef/>
      </w:r>
      <w:r>
        <w:t>Just checking this isn’t a typo. The case number is TK?</w:t>
      </w:r>
    </w:p>
  </w:comment>
  <w:comment w:id="1" w:author="Mike Milov-Cordoba" w:date="2026-03-30T13:38:00Z" w:initials="MMC">
    <w:p w14:paraId="1B83A1BC" w14:textId="77777777" w:rsidR="00495099" w:rsidRDefault="00495099" w:rsidP="00495099">
      <w:r>
        <w:rPr>
          <w:rStyle w:val="CommentReference"/>
        </w:rPr>
        <w:annotationRef/>
      </w:r>
      <w:r>
        <w:rPr>
          <w:sz w:val="20"/>
          <w:szCs w:val="20"/>
        </w:rPr>
        <w:t>No, this is a placeholder until I confirm the case number.</w:t>
      </w:r>
    </w:p>
  </w:comment>
  <w:comment w:id="4" w:author="Alicia Bannon" w:date="2026-03-22T12:57:00Z" w:initials="AB">
    <w:p w14:paraId="0360CEB5" w14:textId="77777777" w:rsidR="00994639" w:rsidRDefault="00994639" w:rsidP="00994639">
      <w:pPr>
        <w:pStyle w:val="CommentText"/>
      </w:pPr>
      <w:r>
        <w:rPr>
          <w:rStyle w:val="CommentReference"/>
        </w:rPr>
        <w:annotationRef/>
      </w:r>
      <w:r>
        <w:t>I might add something highlighting more strongly the breadth of his expertise.  He has authored over 100?? articles on state constitutional law in a 50?-year career, and his scholarship has been cited by state supreme courts across the country. (Has ND cited him in the past?)</w:t>
      </w:r>
    </w:p>
  </w:comment>
  <w:comment w:id="5" w:author="Mike Milov-Cordoba" w:date="2026-03-26T17:30:00Z" w:initials="MMC">
    <w:p w14:paraId="3E7209A9" w14:textId="77777777" w:rsidR="00C346FE" w:rsidRDefault="009A451C" w:rsidP="00C346FE">
      <w:r>
        <w:rPr>
          <w:rStyle w:val="CommentReference"/>
        </w:rPr>
        <w:annotationRef/>
      </w:r>
      <w:r w:rsidR="00C346FE">
        <w:rPr>
          <w:sz w:val="20"/>
          <w:szCs w:val="20"/>
        </w:rPr>
        <w:t>I'll ask Bob. (The bios available online aren't super helpful)</w:t>
      </w:r>
    </w:p>
  </w:comment>
  <w:comment w:id="7" w:author="Alicia Bannon" w:date="2026-03-29T09:43:00Z" w:initials="AB">
    <w:p w14:paraId="3C3BFB8B" w14:textId="77777777" w:rsidR="00E21D0A" w:rsidRDefault="00E21D0A" w:rsidP="00E21D0A">
      <w:pPr>
        <w:pStyle w:val="CommentText"/>
      </w:pPr>
      <w:r>
        <w:rPr>
          <w:rStyle w:val="CommentReference"/>
        </w:rPr>
        <w:annotationRef/>
      </w:r>
      <w:r>
        <w:t>Global comment: I believe that primacy has a specific meaning in the context of state constitutional interpretation – that the state constitution is interpreted first.  Has ND adopted primacy?  It reads to me like you’re using primacy in a different way, to mean something like “independent force” or “primary importance” – if that’s your intention then I suggest using a different word throughout.  (And if you do mean primacy in the sense of interpreting the state constitution first then I would make that clearer as well.)</w:t>
      </w:r>
    </w:p>
  </w:comment>
  <w:comment w:id="8" w:author="Alicia Bannon" w:date="2026-03-29T10:14:00Z" w:initials="AB">
    <w:p w14:paraId="51E4DB60" w14:textId="77777777" w:rsidR="00367E03" w:rsidRDefault="00CD33F6" w:rsidP="00367E03">
      <w:pPr>
        <w:pStyle w:val="CommentText"/>
      </w:pPr>
      <w:r>
        <w:rPr>
          <w:rStyle w:val="CommentReference"/>
        </w:rPr>
        <w:annotationRef/>
      </w:r>
      <w:r w:rsidR="00367E03">
        <w:t>I think this could be made clearer – what does it mean for liberties to be inherent in federalism.  Maybe spell it out a little more?</w:t>
      </w:r>
    </w:p>
    <w:p w14:paraId="53C0D4EE" w14:textId="77777777" w:rsidR="00367E03" w:rsidRDefault="00367E03" w:rsidP="00367E03">
      <w:pPr>
        <w:pStyle w:val="CommentText"/>
      </w:pPr>
    </w:p>
    <w:p w14:paraId="53543861" w14:textId="77777777" w:rsidR="00367E03" w:rsidRDefault="00367E03" w:rsidP="00367E03">
      <w:pPr>
        <w:pStyle w:val="CommentText"/>
      </w:pPr>
      <w:r>
        <w:t xml:space="preserve">Maybe something like, Presumptive alignment between federal and state constitutional rights risks undermining the dual protection of liberty inherent in federalism.  </w:t>
      </w:r>
    </w:p>
  </w:comment>
  <w:comment w:id="9" w:author="Mike Milov-Cordoba" w:date="2026-03-30T09:07:00Z" w:initials="MMC">
    <w:p w14:paraId="25EA46FB" w14:textId="77777777" w:rsidR="004B2ED4" w:rsidRDefault="00B76BCC" w:rsidP="004B2ED4">
      <w:r>
        <w:rPr>
          <w:rStyle w:val="CommentReference"/>
        </w:rPr>
        <w:annotationRef/>
      </w:r>
      <w:r w:rsidR="004B2ED4">
        <w:rPr>
          <w:sz w:val="20"/>
          <w:szCs w:val="20"/>
        </w:rPr>
        <w:t>Federalist 51 is good for this</w:t>
      </w:r>
    </w:p>
  </w:comment>
  <w:comment w:id="12" w:author="Alicia Bannon" w:date="2026-03-29T10:22:00Z" w:initials="AB">
    <w:p w14:paraId="699E6FCF" w14:textId="77777777" w:rsidR="00492277" w:rsidRDefault="00492277" w:rsidP="00492277">
      <w:pPr>
        <w:pStyle w:val="CommentText"/>
      </w:pPr>
      <w:r>
        <w:rPr>
          <w:rStyle w:val="CommentReference"/>
        </w:rPr>
        <w:annotationRef/>
      </w:r>
      <w:r>
        <w:t>Again flagging global comment re: not using the word primacy.</w:t>
      </w:r>
    </w:p>
  </w:comment>
  <w:comment w:id="13" w:author="Mike Milov-Cordoba" w:date="2026-03-30T09:57:00Z" w:initials="MMC">
    <w:p w14:paraId="081256CB" w14:textId="77777777" w:rsidR="004B2ED4" w:rsidRDefault="004B2ED4" w:rsidP="004B2ED4">
      <w:r>
        <w:rPr>
          <w:rStyle w:val="CommentReference"/>
        </w:rPr>
        <w:annotationRef/>
      </w:r>
      <w:r>
        <w:rPr>
          <w:sz w:val="20"/>
          <w:szCs w:val="20"/>
        </w:rPr>
        <w:t>Fixed globally</w:t>
      </w:r>
    </w:p>
  </w:comment>
  <w:comment w:id="28" w:author="Alicia Bannon" w:date="2026-03-29T10:33:00Z" w:initials="AB">
    <w:p w14:paraId="7654561D" w14:textId="77777777" w:rsidR="00EE2826" w:rsidRDefault="00EE2826" w:rsidP="00EE2826">
      <w:pPr>
        <w:pStyle w:val="CommentText"/>
      </w:pPr>
      <w:r>
        <w:rPr>
          <w:rStyle w:val="CommentReference"/>
        </w:rPr>
        <w:annotationRef/>
      </w:r>
      <w:r>
        <w:t>If it’s forthcoming you probably need the SSRN url too, although I defer to the ND redbook!</w:t>
      </w:r>
    </w:p>
  </w:comment>
  <w:comment w:id="29" w:author="Alicia Bannon" w:date="2026-03-29T10:40:00Z" w:initials="AB">
    <w:p w14:paraId="3E1BD182" w14:textId="77777777" w:rsidR="00CB5C97" w:rsidRDefault="00046343" w:rsidP="00CB5C97">
      <w:pPr>
        <w:pStyle w:val="CommentText"/>
      </w:pPr>
      <w:r>
        <w:rPr>
          <w:rStyle w:val="CommentReference"/>
        </w:rPr>
        <w:annotationRef/>
      </w:r>
      <w:r w:rsidR="00CB5C97">
        <w:t>Consider adding something here (or somewhere else in this section) about some of the ND provisions that might be relevant to a holistic interpretation of equal protection in this case.  As written this section is pretty abstract as to what the court might have missed by not doing the holistic review.</w:t>
      </w:r>
    </w:p>
  </w:comment>
  <w:comment w:id="30" w:author="Mike Milov-Cordoba" w:date="2026-03-30T11:40:00Z" w:initials="MMC">
    <w:p w14:paraId="17C299A1" w14:textId="77777777" w:rsidR="00893023" w:rsidRDefault="00893023" w:rsidP="00893023">
      <w:r>
        <w:rPr>
          <w:rStyle w:val="CommentReference"/>
        </w:rPr>
        <w:annotationRef/>
      </w:r>
      <w:r>
        <w:rPr>
          <w:sz w:val="20"/>
          <w:szCs w:val="20"/>
        </w:rPr>
        <w:t>Do these additions work? I feel like there is a larger argument we could mount here that is specific to inalienable rights clauses, but we don't really have room for that.</w:t>
      </w:r>
    </w:p>
  </w:comment>
  <w:comment w:id="31" w:author="Alicia Bannon" w:date="2026-03-29T10:51:00Z" w:initials="AB">
    <w:p w14:paraId="4EBB4E30" w14:textId="77777777" w:rsidR="005705EF" w:rsidRDefault="005705EF" w:rsidP="005705EF">
      <w:pPr>
        <w:pStyle w:val="CommentText"/>
      </w:pPr>
      <w:r>
        <w:rPr>
          <w:rStyle w:val="CommentReference"/>
        </w:rPr>
        <w:annotationRef/>
      </w:r>
      <w:r>
        <w:t>This seems like it could be relevant to the claims in this case. Again, I’d look for ways to make this section less abstract.</w:t>
      </w:r>
    </w:p>
  </w:comment>
  <w:comment w:id="32" w:author="Mike Milov-Cordoba" w:date="2026-03-30T13:26:00Z" w:initials="MMC">
    <w:p w14:paraId="1EECA5A2" w14:textId="77777777" w:rsidR="00D3377F" w:rsidRDefault="00D3377F" w:rsidP="00D3377F">
      <w:r>
        <w:rPr>
          <w:rStyle w:val="CommentReference"/>
        </w:rPr>
        <w:annotationRef/>
      </w:r>
      <w:r>
        <w:rPr>
          <w:sz w:val="20"/>
          <w:szCs w:val="20"/>
        </w:rPr>
        <w:t>Do these changes address this?</w:t>
      </w:r>
    </w:p>
  </w:comment>
  <w:comment w:id="34" w:author="Alicia Bannon" w:date="2026-03-24T12:00:00Z" w:initials="AB">
    <w:p w14:paraId="1197B3B1" w14:textId="6535ADF6" w:rsidR="00DE2A87" w:rsidRDefault="00DE2A87" w:rsidP="00DE2A87">
      <w:pPr>
        <w:pStyle w:val="CommentText"/>
      </w:pPr>
      <w:r>
        <w:rPr>
          <w:rStyle w:val="CommentReference"/>
        </w:rPr>
        <w:annotationRef/>
      </w:r>
      <w:r>
        <w:t>I think we should flag this discussion for Tom since we are essentially applying an originalist framework.</w:t>
      </w:r>
    </w:p>
  </w:comment>
  <w:comment w:id="35" w:author="Mike Milov-Cordoba" w:date="2026-03-27T15:32:00Z" w:initials="MMC">
    <w:p w14:paraId="1AA3A8B2" w14:textId="176B00B6" w:rsidR="00F1131B" w:rsidRDefault="00F1131B" w:rsidP="00F1131B">
      <w:r>
        <w:rPr>
          <w:rStyle w:val="CommentReference"/>
        </w:rPr>
        <w:annotationRef/>
      </w:r>
      <w:r>
        <w:rPr>
          <w:sz w:val="20"/>
          <w:szCs w:val="20"/>
        </w:rPr>
        <w:t>Will do.</w:t>
      </w:r>
    </w:p>
  </w:comment>
  <w:comment w:id="36" w:author="Alicia Bannon" w:date="2026-03-24T12:10:00Z" w:initials="AB">
    <w:p w14:paraId="038FCFD0" w14:textId="77777777" w:rsidR="00B54ADE" w:rsidRDefault="00B54ADE" w:rsidP="00B54ADE">
      <w:pPr>
        <w:pStyle w:val="CommentText"/>
      </w:pPr>
      <w:r>
        <w:rPr>
          <w:rStyle w:val="CommentReference"/>
        </w:rPr>
        <w:annotationRef/>
      </w:r>
      <w:r>
        <w:t>Are these quotes from a case? If the ND court has already acknowledged this point then I’d suggest saying that more explicitly.</w:t>
      </w:r>
    </w:p>
  </w:comment>
  <w:comment w:id="37" w:author="Mike Milov-Cordoba" w:date="2026-03-30T11:41:00Z" w:initials="MMC">
    <w:p w14:paraId="772FE061" w14:textId="77777777" w:rsidR="00574D5C" w:rsidRDefault="008248B0" w:rsidP="00574D5C">
      <w:r>
        <w:rPr>
          <w:rStyle w:val="CommentReference"/>
        </w:rPr>
        <w:annotationRef/>
      </w:r>
      <w:r w:rsidR="00574D5C">
        <w:rPr>
          <w:sz w:val="20"/>
          <w:szCs w:val="20"/>
        </w:rPr>
        <w:t>No. This is a piece by a sitting ND justice who acknowledges that references to fixation are "infrequent." He's pulling out fixation of meaning as a principle implicitly adhered to across time in ND constitutional cases.</w:t>
      </w:r>
    </w:p>
  </w:comment>
  <w:comment w:id="38" w:author="Mike Milov-Cordoba" w:date="2026-03-30T13:01:00Z" w:initials="MMC">
    <w:p w14:paraId="01E81126" w14:textId="77777777" w:rsidR="00A21CCE" w:rsidRDefault="00A21CCE" w:rsidP="00A21CCE">
      <w:r>
        <w:rPr>
          <w:rStyle w:val="CommentReference"/>
        </w:rPr>
        <w:annotationRef/>
      </w:r>
      <w:r>
        <w:rPr>
          <w:sz w:val="20"/>
          <w:szCs w:val="20"/>
        </w:rPr>
        <w:t>I am suggesting we remove all this stuff about privileges and immunities, in part for space reasons, but also because it's a tricky needle to thread. If we have space, we could add the following footnote</w:t>
      </w:r>
    </w:p>
    <w:p w14:paraId="3EE680E6" w14:textId="77777777" w:rsidR="00A21CCE" w:rsidRDefault="00A21CCE" w:rsidP="00A21CCE"/>
    <w:p w14:paraId="1BEA50C9" w14:textId="77777777" w:rsidR="00A21CCE" w:rsidRDefault="00A21CCE" w:rsidP="00A21CCE">
      <w:r>
        <w:rPr>
          <w:color w:val="262626"/>
          <w:sz w:val="20"/>
          <w:szCs w:val="20"/>
        </w:rPr>
        <w:t xml:space="preserve">Although this Court has stated that it has “[l]ong viewed [Section 21] as our state constitutional guarantee of equal protection under the law,” </w:t>
      </w:r>
      <w:r>
        <w:rPr>
          <w:i/>
          <w:iCs/>
          <w:color w:val="262626"/>
          <w:sz w:val="20"/>
          <w:szCs w:val="20"/>
        </w:rPr>
        <w:t>Matter of Adoption of K.A.S</w:t>
      </w:r>
      <w:r>
        <w:rPr>
          <w:color w:val="262626"/>
          <w:sz w:val="20"/>
          <w:szCs w:val="20"/>
        </w:rPr>
        <w:t xml:space="preserve">., 499 N.W.2d 558, 563 (N.D. 1993), the text of Section 21 addresses grants of privileges and immunities. “These provisions differ in text, origin, and focus from the federal equal protection provision,” Williams &amp; Friedman, at 244. </w:t>
      </w:r>
      <w:r>
        <w:rPr>
          <w:i/>
          <w:iCs/>
          <w:color w:val="262626"/>
          <w:sz w:val="20"/>
          <w:szCs w:val="20"/>
        </w:rPr>
        <w:t>See</w:t>
      </w:r>
      <w:r>
        <w:rPr>
          <w:color w:val="262626"/>
          <w:sz w:val="20"/>
          <w:szCs w:val="20"/>
        </w:rPr>
        <w:t xml:space="preserve"> also Hon. Hans Linde, “Without ‘Due Process:’ Unconstitutional Law in Oregon, 49 Ir. L. Rev. 125, 182–83 (1970). To our knowledge, when this Court determined that “[t]he North Dakota constitutional provision guaranteeing equal protection of the laws is Article I, § 21,” it did not factor in these differences, including the fact that such clauses were specifically intended to prevent the state from “singl[ing] out certain individuals or classes for special benefits or burdens.” </w:t>
      </w:r>
      <w:r>
        <w:rPr>
          <w:i/>
          <w:iCs/>
          <w:color w:val="262626"/>
          <w:sz w:val="20"/>
          <w:szCs w:val="20"/>
        </w:rPr>
        <w:t>Hanson v. Williams Cnty.</w:t>
      </w:r>
      <w:r>
        <w:rPr>
          <w:color w:val="262626"/>
          <w:sz w:val="20"/>
          <w:szCs w:val="20"/>
        </w:rPr>
        <w:t>, 389 N.W.2d 319, 323 n.8 (N.D. 1986). Melissa L. Saunders, “Equal; Protection, Class Legislation, and Colorblindness,” 96 Mich. L. Rev. 245, 261 (1997).</w:t>
      </w:r>
    </w:p>
  </w:comment>
  <w:comment w:id="40" w:author="Alicia Bannon" w:date="2026-03-29T11:57:00Z" w:initials="AB">
    <w:p w14:paraId="0D411B8D" w14:textId="77777777" w:rsidR="00DD1666" w:rsidRDefault="00DD1666" w:rsidP="00DD1666">
      <w:pPr>
        <w:pStyle w:val="CommentText"/>
      </w:pPr>
      <w:r>
        <w:rPr>
          <w:rStyle w:val="CommentReference"/>
        </w:rPr>
        <w:annotationRef/>
      </w:r>
      <w:r>
        <w:t>If allowed by Redbook</w:t>
      </w:r>
    </w:p>
  </w:comment>
  <w:comment w:id="42" w:author="Alicia Bannon" w:date="2026-03-29T11:23:00Z" w:initials="AB">
    <w:p w14:paraId="1A861768" w14:textId="02EC4FC0" w:rsidR="00BF6DBB" w:rsidRDefault="00B515A0" w:rsidP="00BF6DBB">
      <w:pPr>
        <w:pStyle w:val="CommentText"/>
      </w:pPr>
      <w:r>
        <w:rPr>
          <w:rStyle w:val="CommentReference"/>
        </w:rPr>
        <w:annotationRef/>
      </w:r>
      <w:r w:rsidR="00BF6DBB">
        <w:t>I suggest restructuring/reorienting this paragraph to lead with the Williams quote that skepticism of legislative power is one of the most important themes of state con law, and contrasting that with federal doctrine that is more deferential to state legislatures for federalism reasons.</w:t>
      </w:r>
    </w:p>
  </w:comment>
  <w:comment w:id="43" w:author="Alicia Bannon" w:date="2026-03-29T11:32:00Z" w:initials="AB">
    <w:p w14:paraId="3A9AA1F4" w14:textId="77777777" w:rsidR="00DC4EAB" w:rsidRDefault="00DC4EAB" w:rsidP="00DC4EAB">
      <w:pPr>
        <w:pStyle w:val="CommentText"/>
      </w:pPr>
      <w:r>
        <w:rPr>
          <w:rStyle w:val="CommentReference"/>
        </w:rPr>
        <w:annotationRef/>
      </w:r>
      <w:r>
        <w:t>The Barrett quote might also fit better here.</w:t>
      </w:r>
    </w:p>
  </w:comment>
  <w:comment w:id="44" w:author="Mike Milov-Cordoba" w:date="2026-03-30T12:40:00Z" w:initials="MMC">
    <w:p w14:paraId="19C5FDDE" w14:textId="77777777" w:rsidR="001467C7" w:rsidRDefault="001467C7" w:rsidP="001467C7">
      <w:r>
        <w:rPr>
          <w:rStyle w:val="CommentReference"/>
        </w:rPr>
        <w:annotationRef/>
      </w:r>
      <w:r>
        <w:rPr>
          <w:sz w:val="20"/>
          <w:szCs w:val="20"/>
        </w:rPr>
        <w:t xml:space="preserve">My sense was that it fits best later on, but I may not be seeing what you have in mind. </w:t>
      </w:r>
    </w:p>
  </w:comment>
  <w:comment w:id="68" w:author="Mike Milov-Cordoba" w:date="2026-03-27T15:31:00Z" w:initials="MMC">
    <w:p w14:paraId="6DDC6312" w14:textId="77777777" w:rsidR="00E82AEA" w:rsidRDefault="002615F5" w:rsidP="00E82AEA">
      <w:r>
        <w:rPr>
          <w:rStyle w:val="CommentReference"/>
        </w:rPr>
        <w:annotationRef/>
      </w:r>
      <w:r w:rsidR="00E82AEA">
        <w:rPr>
          <w:color w:val="262626"/>
          <w:sz w:val="20"/>
          <w:szCs w:val="20"/>
        </w:rPr>
        <w:t>I wanted to add a footnote making the point below, but we don't have room at the moment.</w:t>
      </w:r>
    </w:p>
    <w:p w14:paraId="3AD19669" w14:textId="77777777" w:rsidR="00E82AEA" w:rsidRDefault="00E82AEA" w:rsidP="00E82AEA"/>
    <w:p w14:paraId="62FFEDEF" w14:textId="77777777" w:rsidR="00E82AEA" w:rsidRDefault="00E82AEA" w:rsidP="00E82AEA">
      <w:r>
        <w:rPr>
          <w:color w:val="262626"/>
          <w:sz w:val="20"/>
          <w:szCs w:val="20"/>
        </w:rPr>
        <w:t xml:space="preserve">"The decision below also deemed the presence of laws in other states protecting the medical treatment of transgender individuals relevant to its political powerlessness analysis. But it is unclear why the status of transgender legislation in other states should be matter when courts are engaging in suspect class analysis under a state constitution." </w:t>
      </w:r>
    </w:p>
  </w:comment>
  <w:comment w:id="69" w:author="Mike Milov-Cordoba" w:date="2026-03-27T13:10:00Z" w:initials="MMC">
    <w:p w14:paraId="558C47D1" w14:textId="06924123" w:rsidR="008812CC" w:rsidRDefault="002E276B" w:rsidP="008812CC">
      <w:r>
        <w:rPr>
          <w:rStyle w:val="CommentReference"/>
        </w:rPr>
        <w:annotationRef/>
      </w:r>
      <w:r w:rsidR="008812CC">
        <w:rPr>
          <w:sz w:val="20"/>
          <w:szCs w:val="20"/>
        </w:rPr>
        <w:t>Trimmed this, per Alicia's comment - should we keep the paragraph or delete it?</w:t>
      </w:r>
    </w:p>
  </w:comment>
  <w:comment w:id="70" w:author="Alicia Bannon" w:date="2026-03-29T12:09:00Z" w:initials="AB">
    <w:p w14:paraId="2EC63271" w14:textId="77777777" w:rsidR="00AF214D" w:rsidRDefault="00AF214D" w:rsidP="00AF214D">
      <w:pPr>
        <w:pStyle w:val="CommentText"/>
      </w:pPr>
      <w:r>
        <w:rPr>
          <w:rStyle w:val="CommentReference"/>
        </w:rPr>
        <w:annotationRef/>
      </w:r>
      <w:r>
        <w:t>I think this is a good case and a helpful point to include in the brief. This seems like an example of holistic review so I’d make that point explicit.</w:t>
      </w:r>
    </w:p>
  </w:comment>
  <w:comment w:id="71" w:author="Mike Milov-Cordoba" w:date="2026-03-30T12:55:00Z" w:initials="MMC">
    <w:p w14:paraId="1FAF2109" w14:textId="5E4B36BB" w:rsidR="00691923" w:rsidRDefault="002072A6" w:rsidP="00691923">
      <w:r>
        <w:rPr>
          <w:rStyle w:val="CommentReference"/>
        </w:rPr>
        <w:annotationRef/>
      </w:r>
      <w:r w:rsidR="00691923">
        <w:rPr>
          <w:sz w:val="20"/>
          <w:szCs w:val="20"/>
        </w:rPr>
        <w:t>The MA decision to abandon the federal test is largely motivated by living constitutionalism, not holistic review, so I've done what I can with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A93F22" w15:done="0"/>
  <w15:commentEx w15:paraId="1B83A1BC" w15:paraIdParent="3AA93F22" w15:done="0"/>
  <w15:commentEx w15:paraId="0360CEB5" w15:done="0"/>
  <w15:commentEx w15:paraId="3E7209A9" w15:paraIdParent="0360CEB5" w15:done="0"/>
  <w15:commentEx w15:paraId="3C3BFB8B" w15:done="1"/>
  <w15:commentEx w15:paraId="53543861" w15:done="1"/>
  <w15:commentEx w15:paraId="25EA46FB" w15:paraIdParent="53543861" w15:done="1"/>
  <w15:commentEx w15:paraId="699E6FCF" w15:done="1"/>
  <w15:commentEx w15:paraId="081256CB" w15:paraIdParent="699E6FCF" w15:done="1"/>
  <w15:commentEx w15:paraId="7654561D" w15:done="0"/>
  <w15:commentEx w15:paraId="3E1BD182" w15:done="1"/>
  <w15:commentEx w15:paraId="17C299A1" w15:paraIdParent="3E1BD182" w15:done="1"/>
  <w15:commentEx w15:paraId="4EBB4E30" w15:done="1"/>
  <w15:commentEx w15:paraId="1EECA5A2" w15:paraIdParent="4EBB4E30" w15:done="1"/>
  <w15:commentEx w15:paraId="1197B3B1" w15:done="1"/>
  <w15:commentEx w15:paraId="1AA3A8B2" w15:paraIdParent="1197B3B1" w15:done="1"/>
  <w15:commentEx w15:paraId="038FCFD0" w15:done="1"/>
  <w15:commentEx w15:paraId="772FE061" w15:paraIdParent="038FCFD0" w15:done="1"/>
  <w15:commentEx w15:paraId="1BEA50C9" w15:done="0"/>
  <w15:commentEx w15:paraId="0D411B8D" w15:done="0"/>
  <w15:commentEx w15:paraId="1A861768" w15:done="1"/>
  <w15:commentEx w15:paraId="3A9AA1F4" w15:paraIdParent="1A861768" w15:done="1"/>
  <w15:commentEx w15:paraId="19C5FDDE" w15:paraIdParent="1A861768" w15:done="1"/>
  <w15:commentEx w15:paraId="62FFEDEF" w15:done="0"/>
  <w15:commentEx w15:paraId="558C47D1" w15:done="1"/>
  <w15:commentEx w15:paraId="2EC63271" w15:paraIdParent="558C47D1" w15:done="1"/>
  <w15:commentEx w15:paraId="1FAF2109" w15:paraIdParent="558C47D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BE53A7" w16cex:dateUtc="2026-03-29T01:26:00Z"/>
  <w16cex:commentExtensible w16cex:durableId="4F511164" w16cex:dateUtc="2026-03-30T17:38:00Z"/>
  <w16cex:commentExtensible w16cex:durableId="35C9AB2E" w16cex:dateUtc="2026-03-22T16:57:00Z"/>
  <w16cex:commentExtensible w16cex:durableId="1A045EE5" w16cex:dateUtc="2026-03-26T21:30:00Z"/>
  <w16cex:commentExtensible w16cex:durableId="0706263A" w16cex:dateUtc="2026-03-29T13:43:00Z"/>
  <w16cex:commentExtensible w16cex:durableId="023171B2" w16cex:dateUtc="2026-03-29T14:14:00Z"/>
  <w16cex:commentExtensible w16cex:durableId="5BDB9BAD" w16cex:dateUtc="2026-03-30T13:07:00Z"/>
  <w16cex:commentExtensible w16cex:durableId="6566F65A" w16cex:dateUtc="2026-03-29T14:22:00Z"/>
  <w16cex:commentExtensible w16cex:durableId="12B2AE5D" w16cex:dateUtc="2026-03-30T13:57:00Z"/>
  <w16cex:commentExtensible w16cex:durableId="0930DA90" w16cex:dateUtc="2026-03-29T14:33:00Z"/>
  <w16cex:commentExtensible w16cex:durableId="0049B04A" w16cex:dateUtc="2026-03-29T14:40:00Z"/>
  <w16cex:commentExtensible w16cex:durableId="6707228B" w16cex:dateUtc="2026-03-30T15:40:00Z"/>
  <w16cex:commentExtensible w16cex:durableId="1D6F2B6E" w16cex:dateUtc="2026-03-29T14:51:00Z"/>
  <w16cex:commentExtensible w16cex:durableId="7BAA21F7" w16cex:dateUtc="2026-03-30T17:26:00Z"/>
  <w16cex:commentExtensible w16cex:durableId="42081F68" w16cex:dateUtc="2026-03-24T16:00:00Z"/>
  <w16cex:commentExtensible w16cex:durableId="64FCA596" w16cex:dateUtc="2026-03-27T19:32:00Z"/>
  <w16cex:commentExtensible w16cex:durableId="36163F7B" w16cex:dateUtc="2026-03-24T16:10:00Z"/>
  <w16cex:commentExtensible w16cex:durableId="05264538" w16cex:dateUtc="2026-03-30T15:41:00Z"/>
  <w16cex:commentExtensible w16cex:durableId="185E5C3D" w16cex:dateUtc="2026-03-30T17:01:00Z"/>
  <w16cex:commentExtensible w16cex:durableId="60F1AC76" w16cex:dateUtc="2026-03-29T15:57:00Z"/>
  <w16cex:commentExtensible w16cex:durableId="5814D2E0" w16cex:dateUtc="2026-03-29T15:23:00Z"/>
  <w16cex:commentExtensible w16cex:durableId="36F5C263" w16cex:dateUtc="2026-03-29T15:32:00Z"/>
  <w16cex:commentExtensible w16cex:durableId="0B5972EF" w16cex:dateUtc="2026-03-30T16:40:00Z"/>
  <w16cex:commentExtensible w16cex:durableId="17099C2B" w16cex:dateUtc="2026-03-27T19:31:00Z"/>
  <w16cex:commentExtensible w16cex:durableId="6A927B42" w16cex:dateUtc="2026-03-27T17:10:00Z"/>
  <w16cex:commentExtensible w16cex:durableId="7E21FB17" w16cex:dateUtc="2026-03-29T16:09:00Z"/>
  <w16cex:commentExtensible w16cex:durableId="3A7A5C55" w16cex:dateUtc="2026-03-30T1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A93F22" w16cid:durableId="4BBE53A7"/>
  <w16cid:commentId w16cid:paraId="1B83A1BC" w16cid:durableId="4F511164"/>
  <w16cid:commentId w16cid:paraId="0360CEB5" w16cid:durableId="35C9AB2E"/>
  <w16cid:commentId w16cid:paraId="3E7209A9" w16cid:durableId="1A045EE5"/>
  <w16cid:commentId w16cid:paraId="3C3BFB8B" w16cid:durableId="0706263A"/>
  <w16cid:commentId w16cid:paraId="53543861" w16cid:durableId="023171B2"/>
  <w16cid:commentId w16cid:paraId="25EA46FB" w16cid:durableId="5BDB9BAD"/>
  <w16cid:commentId w16cid:paraId="699E6FCF" w16cid:durableId="6566F65A"/>
  <w16cid:commentId w16cid:paraId="081256CB" w16cid:durableId="12B2AE5D"/>
  <w16cid:commentId w16cid:paraId="7654561D" w16cid:durableId="0930DA90"/>
  <w16cid:commentId w16cid:paraId="3E1BD182" w16cid:durableId="0049B04A"/>
  <w16cid:commentId w16cid:paraId="17C299A1" w16cid:durableId="6707228B"/>
  <w16cid:commentId w16cid:paraId="4EBB4E30" w16cid:durableId="1D6F2B6E"/>
  <w16cid:commentId w16cid:paraId="1EECA5A2" w16cid:durableId="7BAA21F7"/>
  <w16cid:commentId w16cid:paraId="1197B3B1" w16cid:durableId="42081F68"/>
  <w16cid:commentId w16cid:paraId="1AA3A8B2" w16cid:durableId="64FCA596"/>
  <w16cid:commentId w16cid:paraId="038FCFD0" w16cid:durableId="36163F7B"/>
  <w16cid:commentId w16cid:paraId="772FE061" w16cid:durableId="05264538"/>
  <w16cid:commentId w16cid:paraId="1BEA50C9" w16cid:durableId="185E5C3D"/>
  <w16cid:commentId w16cid:paraId="0D411B8D" w16cid:durableId="60F1AC76"/>
  <w16cid:commentId w16cid:paraId="1A861768" w16cid:durableId="5814D2E0"/>
  <w16cid:commentId w16cid:paraId="3A9AA1F4" w16cid:durableId="36F5C263"/>
  <w16cid:commentId w16cid:paraId="19C5FDDE" w16cid:durableId="0B5972EF"/>
  <w16cid:commentId w16cid:paraId="62FFEDEF" w16cid:durableId="17099C2B"/>
  <w16cid:commentId w16cid:paraId="558C47D1" w16cid:durableId="6A927B42"/>
  <w16cid:commentId w16cid:paraId="2EC63271" w16cid:durableId="7E21FB17"/>
  <w16cid:commentId w16cid:paraId="1FAF2109" w16cid:durableId="3A7A5C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F0D47" w14:textId="77777777" w:rsidR="00F62447" w:rsidRDefault="00F62447" w:rsidP="008E402A">
      <w:r>
        <w:separator/>
      </w:r>
    </w:p>
  </w:endnote>
  <w:endnote w:type="continuationSeparator" w:id="0">
    <w:p w14:paraId="21ABA607" w14:textId="77777777" w:rsidR="00F62447" w:rsidRDefault="00F62447" w:rsidP="008E4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altName w:val="Sylfaen"/>
    <w:panose1 w:val="020B06040202020202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8403284"/>
      <w:docPartObj>
        <w:docPartGallery w:val="Page Numbers (Bottom of Page)"/>
        <w:docPartUnique/>
      </w:docPartObj>
    </w:sdtPr>
    <w:sdtEndPr>
      <w:rPr>
        <w:rStyle w:val="PageNumber"/>
      </w:rPr>
    </w:sdtEndPr>
    <w:sdtContent>
      <w:p w14:paraId="4CF37AA0" w14:textId="77777777" w:rsidR="008E402A" w:rsidRDefault="008E402A" w:rsidP="008D0188">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3B41974" w14:textId="77777777" w:rsidR="008E402A" w:rsidRDefault="008E40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0446895"/>
      <w:docPartObj>
        <w:docPartGallery w:val="Page Numbers (Bottom of Page)"/>
        <w:docPartUnique/>
      </w:docPartObj>
    </w:sdtPr>
    <w:sdtEndPr>
      <w:rPr>
        <w:rStyle w:val="PageNumber"/>
      </w:rPr>
    </w:sdtEndPr>
    <w:sdtContent>
      <w:p w14:paraId="24A7A312" w14:textId="77777777" w:rsidR="008E402A" w:rsidRPr="00C261F8" w:rsidRDefault="008E402A" w:rsidP="008D0188">
        <w:pPr>
          <w:pStyle w:val="Footer"/>
          <w:framePr w:wrap="none" w:vAnchor="text" w:hAnchor="margin" w:xAlign="center" w:y="1"/>
          <w:rPr>
            <w:rStyle w:val="PageNumber"/>
          </w:rPr>
        </w:pPr>
        <w:r w:rsidRPr="00C261F8">
          <w:rPr>
            <w:rStyle w:val="PageNumber"/>
          </w:rPr>
          <w:fldChar w:fldCharType="begin"/>
        </w:r>
        <w:r w:rsidRPr="00C261F8">
          <w:rPr>
            <w:rStyle w:val="PageNumber"/>
          </w:rPr>
          <w:instrText xml:space="preserve"> PAGE </w:instrText>
        </w:r>
        <w:r w:rsidRPr="00C261F8">
          <w:rPr>
            <w:rStyle w:val="PageNumber"/>
          </w:rPr>
          <w:fldChar w:fldCharType="separate"/>
        </w:r>
        <w:r w:rsidRPr="00C261F8">
          <w:rPr>
            <w:rStyle w:val="PageNumber"/>
            <w:noProof/>
          </w:rPr>
          <w:t>1</w:t>
        </w:r>
        <w:r w:rsidRPr="00C261F8">
          <w:rPr>
            <w:rStyle w:val="PageNumber"/>
          </w:rPr>
          <w:fldChar w:fldCharType="end"/>
        </w:r>
      </w:p>
    </w:sdtContent>
  </w:sdt>
  <w:p w14:paraId="4E279F90" w14:textId="77777777" w:rsidR="008E402A" w:rsidRPr="00C261F8" w:rsidRDefault="008E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8FE32" w14:textId="77777777" w:rsidR="00F62447" w:rsidRDefault="00F62447" w:rsidP="008E402A">
      <w:r>
        <w:separator/>
      </w:r>
    </w:p>
  </w:footnote>
  <w:footnote w:type="continuationSeparator" w:id="0">
    <w:p w14:paraId="27668379" w14:textId="77777777" w:rsidR="00F62447" w:rsidRDefault="00F62447" w:rsidP="008E402A">
      <w:r>
        <w:continuationSeparator/>
      </w:r>
    </w:p>
  </w:footnote>
  <w:footnote w:id="1">
    <w:p w14:paraId="5EADCF38" w14:textId="77777777" w:rsidR="008E402A" w:rsidRPr="00611E9D" w:rsidRDefault="008E402A" w:rsidP="00611E9D">
      <w:pPr>
        <w:pStyle w:val="FootnoteText"/>
        <w:spacing w:line="480" w:lineRule="auto"/>
        <w:jc w:val="both"/>
        <w:rPr>
          <w:sz w:val="24"/>
          <w:szCs w:val="24"/>
        </w:rPr>
      </w:pPr>
      <w:r w:rsidRPr="00611E9D">
        <w:rPr>
          <w:rStyle w:val="FootnoteReference"/>
          <w:sz w:val="24"/>
          <w:szCs w:val="24"/>
        </w:rPr>
        <w:footnoteRef/>
      </w:r>
      <w:r w:rsidRPr="00611E9D">
        <w:rPr>
          <w:sz w:val="24"/>
          <w:szCs w:val="24"/>
        </w:rPr>
        <w:t xml:space="preserve"> This brief does not purport to convey the position of New York University School of Law.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B83"/>
    <w:multiLevelType w:val="multilevel"/>
    <w:tmpl w:val="F1608862"/>
    <w:lvl w:ilvl="0">
      <w:start w:val="1"/>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48B77EF"/>
    <w:multiLevelType w:val="hybridMultilevel"/>
    <w:tmpl w:val="408C9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44BEA"/>
    <w:multiLevelType w:val="hybridMultilevel"/>
    <w:tmpl w:val="6D6C2184"/>
    <w:lvl w:ilvl="0" w:tplc="07FEEFF2">
      <w:start w:val="1"/>
      <w:numFmt w:val="upperRoman"/>
      <w:lvlText w:val="%1."/>
      <w:lvlJc w:val="left"/>
      <w:pPr>
        <w:ind w:left="1080" w:hanging="72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44070"/>
    <w:multiLevelType w:val="hybridMultilevel"/>
    <w:tmpl w:val="AC9EA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C5048"/>
    <w:multiLevelType w:val="hybridMultilevel"/>
    <w:tmpl w:val="B66CD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D1F1D"/>
    <w:multiLevelType w:val="hybridMultilevel"/>
    <w:tmpl w:val="8DF0A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B73AEA"/>
    <w:multiLevelType w:val="hybridMultilevel"/>
    <w:tmpl w:val="C464B00A"/>
    <w:lvl w:ilvl="0" w:tplc="A08A6A2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B22408"/>
    <w:multiLevelType w:val="hybridMultilevel"/>
    <w:tmpl w:val="582E37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A116DF"/>
    <w:multiLevelType w:val="hybridMultilevel"/>
    <w:tmpl w:val="F142EF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4D681D"/>
    <w:multiLevelType w:val="hybridMultilevel"/>
    <w:tmpl w:val="FEAA831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921305"/>
    <w:multiLevelType w:val="hybridMultilevel"/>
    <w:tmpl w:val="E5601DD6"/>
    <w:lvl w:ilvl="0" w:tplc="85442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FC5CA4"/>
    <w:multiLevelType w:val="hybridMultilevel"/>
    <w:tmpl w:val="34B675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C92419C"/>
    <w:multiLevelType w:val="hybridMultilevel"/>
    <w:tmpl w:val="7E18F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BC3C13"/>
    <w:multiLevelType w:val="hybridMultilevel"/>
    <w:tmpl w:val="D50A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6C5417"/>
    <w:multiLevelType w:val="hybridMultilevel"/>
    <w:tmpl w:val="F2B21ACC"/>
    <w:lvl w:ilvl="0" w:tplc="519427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F6766D"/>
    <w:multiLevelType w:val="hybridMultilevel"/>
    <w:tmpl w:val="49C81458"/>
    <w:lvl w:ilvl="0" w:tplc="24C2931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532BE7"/>
    <w:multiLevelType w:val="hybridMultilevel"/>
    <w:tmpl w:val="F2B21AC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5BC4B8C"/>
    <w:multiLevelType w:val="hybridMultilevel"/>
    <w:tmpl w:val="24D2E764"/>
    <w:lvl w:ilvl="0" w:tplc="7F403B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05382"/>
    <w:multiLevelType w:val="multilevel"/>
    <w:tmpl w:val="B14C5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611CF5"/>
    <w:multiLevelType w:val="hybridMultilevel"/>
    <w:tmpl w:val="72C212F6"/>
    <w:lvl w:ilvl="0" w:tplc="D99A8AC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EDA2370"/>
    <w:multiLevelType w:val="hybridMultilevel"/>
    <w:tmpl w:val="8D2C4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6F7F7F"/>
    <w:multiLevelType w:val="hybridMultilevel"/>
    <w:tmpl w:val="1DB278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4C40AEE"/>
    <w:multiLevelType w:val="hybridMultilevel"/>
    <w:tmpl w:val="F82A0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0D3B2E"/>
    <w:multiLevelType w:val="hybridMultilevel"/>
    <w:tmpl w:val="F51A9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AB3E10"/>
    <w:multiLevelType w:val="hybridMultilevel"/>
    <w:tmpl w:val="43404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8D2FD2"/>
    <w:multiLevelType w:val="hybridMultilevel"/>
    <w:tmpl w:val="39721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17576E"/>
    <w:multiLevelType w:val="hybridMultilevel"/>
    <w:tmpl w:val="77D81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3B57D7"/>
    <w:multiLevelType w:val="hybridMultilevel"/>
    <w:tmpl w:val="77881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942B1C"/>
    <w:multiLevelType w:val="hybridMultilevel"/>
    <w:tmpl w:val="23B07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2837BC"/>
    <w:multiLevelType w:val="hybridMultilevel"/>
    <w:tmpl w:val="A8DEC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001931">
    <w:abstractNumId w:val="9"/>
  </w:num>
  <w:num w:numId="2" w16cid:durableId="2047411056">
    <w:abstractNumId w:val="2"/>
  </w:num>
  <w:num w:numId="3" w16cid:durableId="683212976">
    <w:abstractNumId w:val="3"/>
  </w:num>
  <w:num w:numId="4" w16cid:durableId="651563131">
    <w:abstractNumId w:val="19"/>
  </w:num>
  <w:num w:numId="5" w16cid:durableId="1162503681">
    <w:abstractNumId w:val="25"/>
  </w:num>
  <w:num w:numId="6" w16cid:durableId="613635252">
    <w:abstractNumId w:val="11"/>
  </w:num>
  <w:num w:numId="7" w16cid:durableId="1674331075">
    <w:abstractNumId w:val="22"/>
  </w:num>
  <w:num w:numId="8" w16cid:durableId="1929270446">
    <w:abstractNumId w:val="20"/>
  </w:num>
  <w:num w:numId="9" w16cid:durableId="1089348441">
    <w:abstractNumId w:val="12"/>
  </w:num>
  <w:num w:numId="10" w16cid:durableId="270629565">
    <w:abstractNumId w:val="28"/>
  </w:num>
  <w:num w:numId="11" w16cid:durableId="1912227294">
    <w:abstractNumId w:val="4"/>
  </w:num>
  <w:num w:numId="12" w16cid:durableId="992876667">
    <w:abstractNumId w:val="6"/>
  </w:num>
  <w:num w:numId="13" w16cid:durableId="1707097743">
    <w:abstractNumId w:val="7"/>
  </w:num>
  <w:num w:numId="14" w16cid:durableId="1072238732">
    <w:abstractNumId w:val="27"/>
  </w:num>
  <w:num w:numId="15" w16cid:durableId="1014652092">
    <w:abstractNumId w:val="21"/>
  </w:num>
  <w:num w:numId="16" w16cid:durableId="987366409">
    <w:abstractNumId w:val="29"/>
  </w:num>
  <w:num w:numId="17" w16cid:durableId="1383939425">
    <w:abstractNumId w:val="26"/>
  </w:num>
  <w:num w:numId="18" w16cid:durableId="335962395">
    <w:abstractNumId w:val="5"/>
  </w:num>
  <w:num w:numId="19" w16cid:durableId="1176656823">
    <w:abstractNumId w:val="13"/>
  </w:num>
  <w:num w:numId="20" w16cid:durableId="343091849">
    <w:abstractNumId w:val="15"/>
  </w:num>
  <w:num w:numId="21" w16cid:durableId="97414205">
    <w:abstractNumId w:val="8"/>
  </w:num>
  <w:num w:numId="22" w16cid:durableId="1056664729">
    <w:abstractNumId w:val="24"/>
  </w:num>
  <w:num w:numId="23" w16cid:durableId="11692812">
    <w:abstractNumId w:val="23"/>
  </w:num>
  <w:num w:numId="24" w16cid:durableId="33432231">
    <w:abstractNumId w:val="14"/>
  </w:num>
  <w:num w:numId="25" w16cid:durableId="695734627">
    <w:abstractNumId w:val="0"/>
  </w:num>
  <w:num w:numId="26" w16cid:durableId="1734233021">
    <w:abstractNumId w:val="16"/>
  </w:num>
  <w:num w:numId="27" w16cid:durableId="1715035800">
    <w:abstractNumId w:val="17"/>
  </w:num>
  <w:num w:numId="28" w16cid:durableId="1370686948">
    <w:abstractNumId w:val="1"/>
  </w:num>
  <w:num w:numId="29" w16cid:durableId="103304982">
    <w:abstractNumId w:val="10"/>
  </w:num>
  <w:num w:numId="30" w16cid:durableId="18258561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icia Bannon">
    <w15:presenceInfo w15:providerId="AD" w15:userId="S::bannona@brennan.law.nyu.edu::4a5fbea6-1c91-4f09-9910-f7352d2424af"/>
  </w15:person>
  <w15:person w15:author="Mike Milov-Cordoba">
    <w15:presenceInfo w15:providerId="AD" w15:userId="S::milov-cordobam@brennan.law.nyu.edu::fe9efea5-0ee4-4482-92b4-fb0a1abd5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02A"/>
    <w:rsid w:val="000007D1"/>
    <w:rsid w:val="00000A43"/>
    <w:rsid w:val="00001576"/>
    <w:rsid w:val="00002586"/>
    <w:rsid w:val="000028A5"/>
    <w:rsid w:val="0000341D"/>
    <w:rsid w:val="000036D4"/>
    <w:rsid w:val="000037DB"/>
    <w:rsid w:val="00004710"/>
    <w:rsid w:val="00004BA4"/>
    <w:rsid w:val="00004FE1"/>
    <w:rsid w:val="000059A7"/>
    <w:rsid w:val="000067B5"/>
    <w:rsid w:val="00006E66"/>
    <w:rsid w:val="00006FCF"/>
    <w:rsid w:val="00007BF8"/>
    <w:rsid w:val="000108C6"/>
    <w:rsid w:val="00011ADD"/>
    <w:rsid w:val="00012B4B"/>
    <w:rsid w:val="00013BD8"/>
    <w:rsid w:val="00013DF0"/>
    <w:rsid w:val="00014188"/>
    <w:rsid w:val="00014727"/>
    <w:rsid w:val="00014BCC"/>
    <w:rsid w:val="000166D2"/>
    <w:rsid w:val="00017086"/>
    <w:rsid w:val="0001732C"/>
    <w:rsid w:val="00017675"/>
    <w:rsid w:val="00017A91"/>
    <w:rsid w:val="00017B16"/>
    <w:rsid w:val="00017FB7"/>
    <w:rsid w:val="000213EF"/>
    <w:rsid w:val="00021DF1"/>
    <w:rsid w:val="000224C5"/>
    <w:rsid w:val="000225D0"/>
    <w:rsid w:val="00023100"/>
    <w:rsid w:val="00023BBB"/>
    <w:rsid w:val="000256A0"/>
    <w:rsid w:val="00025D55"/>
    <w:rsid w:val="00026AF4"/>
    <w:rsid w:val="00027447"/>
    <w:rsid w:val="000274D9"/>
    <w:rsid w:val="00030108"/>
    <w:rsid w:val="00031384"/>
    <w:rsid w:val="00031FD6"/>
    <w:rsid w:val="00032437"/>
    <w:rsid w:val="0003265A"/>
    <w:rsid w:val="00032A07"/>
    <w:rsid w:val="0003335F"/>
    <w:rsid w:val="000335B5"/>
    <w:rsid w:val="00034689"/>
    <w:rsid w:val="00034D28"/>
    <w:rsid w:val="00034F93"/>
    <w:rsid w:val="000357C8"/>
    <w:rsid w:val="000358E0"/>
    <w:rsid w:val="0003627D"/>
    <w:rsid w:val="00042708"/>
    <w:rsid w:val="0004407B"/>
    <w:rsid w:val="00044690"/>
    <w:rsid w:val="00044C00"/>
    <w:rsid w:val="00046343"/>
    <w:rsid w:val="0004656B"/>
    <w:rsid w:val="00046588"/>
    <w:rsid w:val="0004660F"/>
    <w:rsid w:val="00046CD4"/>
    <w:rsid w:val="0004745E"/>
    <w:rsid w:val="0005002C"/>
    <w:rsid w:val="00050567"/>
    <w:rsid w:val="00050783"/>
    <w:rsid w:val="00051677"/>
    <w:rsid w:val="00052AC4"/>
    <w:rsid w:val="0005307A"/>
    <w:rsid w:val="00053198"/>
    <w:rsid w:val="00053466"/>
    <w:rsid w:val="000539A5"/>
    <w:rsid w:val="00053C40"/>
    <w:rsid w:val="000541A4"/>
    <w:rsid w:val="00054D45"/>
    <w:rsid w:val="000554FF"/>
    <w:rsid w:val="00055B36"/>
    <w:rsid w:val="000566AC"/>
    <w:rsid w:val="000569FB"/>
    <w:rsid w:val="00057C73"/>
    <w:rsid w:val="000608FB"/>
    <w:rsid w:val="0006108B"/>
    <w:rsid w:val="000614B9"/>
    <w:rsid w:val="00063874"/>
    <w:rsid w:val="00063B95"/>
    <w:rsid w:val="00064091"/>
    <w:rsid w:val="00064112"/>
    <w:rsid w:val="000642E6"/>
    <w:rsid w:val="00064525"/>
    <w:rsid w:val="0006484F"/>
    <w:rsid w:val="00064CCE"/>
    <w:rsid w:val="00067D0B"/>
    <w:rsid w:val="000704CD"/>
    <w:rsid w:val="00070540"/>
    <w:rsid w:val="000726B4"/>
    <w:rsid w:val="00073105"/>
    <w:rsid w:val="00073B43"/>
    <w:rsid w:val="00073CA6"/>
    <w:rsid w:val="00075B8F"/>
    <w:rsid w:val="00076025"/>
    <w:rsid w:val="000767E3"/>
    <w:rsid w:val="00076A5C"/>
    <w:rsid w:val="00077431"/>
    <w:rsid w:val="00077A25"/>
    <w:rsid w:val="00080326"/>
    <w:rsid w:val="0008036D"/>
    <w:rsid w:val="00080596"/>
    <w:rsid w:val="00080765"/>
    <w:rsid w:val="0008237B"/>
    <w:rsid w:val="0008269B"/>
    <w:rsid w:val="00082BCB"/>
    <w:rsid w:val="00082F78"/>
    <w:rsid w:val="00082F8C"/>
    <w:rsid w:val="00083C12"/>
    <w:rsid w:val="00084D11"/>
    <w:rsid w:val="00084F92"/>
    <w:rsid w:val="00085793"/>
    <w:rsid w:val="00085EBD"/>
    <w:rsid w:val="00086DA5"/>
    <w:rsid w:val="0008700E"/>
    <w:rsid w:val="00090C34"/>
    <w:rsid w:val="00090E75"/>
    <w:rsid w:val="00091847"/>
    <w:rsid w:val="00091ADC"/>
    <w:rsid w:val="00091D7C"/>
    <w:rsid w:val="000929E8"/>
    <w:rsid w:val="000948FE"/>
    <w:rsid w:val="00094C96"/>
    <w:rsid w:val="0009603C"/>
    <w:rsid w:val="0009642B"/>
    <w:rsid w:val="0009680F"/>
    <w:rsid w:val="000A018D"/>
    <w:rsid w:val="000A2265"/>
    <w:rsid w:val="000A2C94"/>
    <w:rsid w:val="000A36AA"/>
    <w:rsid w:val="000A3AEB"/>
    <w:rsid w:val="000A41C1"/>
    <w:rsid w:val="000A42E3"/>
    <w:rsid w:val="000A55BD"/>
    <w:rsid w:val="000A5E37"/>
    <w:rsid w:val="000A5EB9"/>
    <w:rsid w:val="000A60EB"/>
    <w:rsid w:val="000A6473"/>
    <w:rsid w:val="000A6E0E"/>
    <w:rsid w:val="000B00AD"/>
    <w:rsid w:val="000B0CE4"/>
    <w:rsid w:val="000B0E6E"/>
    <w:rsid w:val="000B0EB9"/>
    <w:rsid w:val="000B1A00"/>
    <w:rsid w:val="000B20D0"/>
    <w:rsid w:val="000B2338"/>
    <w:rsid w:val="000B2937"/>
    <w:rsid w:val="000B2BE4"/>
    <w:rsid w:val="000B2D47"/>
    <w:rsid w:val="000B3E63"/>
    <w:rsid w:val="000B4816"/>
    <w:rsid w:val="000B5135"/>
    <w:rsid w:val="000B6E1E"/>
    <w:rsid w:val="000B7493"/>
    <w:rsid w:val="000B7E1D"/>
    <w:rsid w:val="000C0292"/>
    <w:rsid w:val="000C120B"/>
    <w:rsid w:val="000C1518"/>
    <w:rsid w:val="000C17AB"/>
    <w:rsid w:val="000C186B"/>
    <w:rsid w:val="000C1AE0"/>
    <w:rsid w:val="000C2D78"/>
    <w:rsid w:val="000C32CA"/>
    <w:rsid w:val="000C3669"/>
    <w:rsid w:val="000C3735"/>
    <w:rsid w:val="000C4101"/>
    <w:rsid w:val="000C43AD"/>
    <w:rsid w:val="000C495B"/>
    <w:rsid w:val="000C6098"/>
    <w:rsid w:val="000C619E"/>
    <w:rsid w:val="000C6ECF"/>
    <w:rsid w:val="000C75CF"/>
    <w:rsid w:val="000D1144"/>
    <w:rsid w:val="000D12E0"/>
    <w:rsid w:val="000D2920"/>
    <w:rsid w:val="000D4873"/>
    <w:rsid w:val="000D5737"/>
    <w:rsid w:val="000D5944"/>
    <w:rsid w:val="000D6265"/>
    <w:rsid w:val="000D7769"/>
    <w:rsid w:val="000E03F1"/>
    <w:rsid w:val="000E052E"/>
    <w:rsid w:val="000E0C0D"/>
    <w:rsid w:val="000E0C1A"/>
    <w:rsid w:val="000E1066"/>
    <w:rsid w:val="000E1418"/>
    <w:rsid w:val="000E18C9"/>
    <w:rsid w:val="000E1905"/>
    <w:rsid w:val="000E1A32"/>
    <w:rsid w:val="000E2DE5"/>
    <w:rsid w:val="000E3F32"/>
    <w:rsid w:val="000E44C3"/>
    <w:rsid w:val="000E493C"/>
    <w:rsid w:val="000E4B94"/>
    <w:rsid w:val="000E67F9"/>
    <w:rsid w:val="000E75EC"/>
    <w:rsid w:val="000E7811"/>
    <w:rsid w:val="000F01C2"/>
    <w:rsid w:val="000F0EF4"/>
    <w:rsid w:val="000F2359"/>
    <w:rsid w:val="000F2B43"/>
    <w:rsid w:val="000F2BCC"/>
    <w:rsid w:val="000F2BD1"/>
    <w:rsid w:val="000F3E84"/>
    <w:rsid w:val="000F46B6"/>
    <w:rsid w:val="000F4FB6"/>
    <w:rsid w:val="000F50FC"/>
    <w:rsid w:val="000F5418"/>
    <w:rsid w:val="000F5668"/>
    <w:rsid w:val="000F5B58"/>
    <w:rsid w:val="000F64ED"/>
    <w:rsid w:val="000F77CD"/>
    <w:rsid w:val="000F7900"/>
    <w:rsid w:val="000F7A41"/>
    <w:rsid w:val="001007BC"/>
    <w:rsid w:val="0010183D"/>
    <w:rsid w:val="0010245E"/>
    <w:rsid w:val="00102491"/>
    <w:rsid w:val="00102F33"/>
    <w:rsid w:val="00103C1D"/>
    <w:rsid w:val="00103CB8"/>
    <w:rsid w:val="0010512E"/>
    <w:rsid w:val="001052B8"/>
    <w:rsid w:val="0010537C"/>
    <w:rsid w:val="001053E8"/>
    <w:rsid w:val="00105775"/>
    <w:rsid w:val="001057A7"/>
    <w:rsid w:val="00105859"/>
    <w:rsid w:val="00105FE7"/>
    <w:rsid w:val="0010669C"/>
    <w:rsid w:val="00106711"/>
    <w:rsid w:val="001120CE"/>
    <w:rsid w:val="00112708"/>
    <w:rsid w:val="001135B2"/>
    <w:rsid w:val="0011466B"/>
    <w:rsid w:val="00115370"/>
    <w:rsid w:val="0011599C"/>
    <w:rsid w:val="00116416"/>
    <w:rsid w:val="001165E7"/>
    <w:rsid w:val="0011666D"/>
    <w:rsid w:val="00116D9F"/>
    <w:rsid w:val="00117FE4"/>
    <w:rsid w:val="00120465"/>
    <w:rsid w:val="0012058B"/>
    <w:rsid w:val="00120D86"/>
    <w:rsid w:val="00121AAE"/>
    <w:rsid w:val="00122D3D"/>
    <w:rsid w:val="00122F3E"/>
    <w:rsid w:val="00122FDC"/>
    <w:rsid w:val="00123153"/>
    <w:rsid w:val="00123340"/>
    <w:rsid w:val="0012392B"/>
    <w:rsid w:val="00123B55"/>
    <w:rsid w:val="00124B5E"/>
    <w:rsid w:val="00124C96"/>
    <w:rsid w:val="00124FA4"/>
    <w:rsid w:val="00125A4A"/>
    <w:rsid w:val="00125EA7"/>
    <w:rsid w:val="001269D9"/>
    <w:rsid w:val="00127B33"/>
    <w:rsid w:val="00127B7F"/>
    <w:rsid w:val="001301E8"/>
    <w:rsid w:val="00130D03"/>
    <w:rsid w:val="00131C42"/>
    <w:rsid w:val="001327A6"/>
    <w:rsid w:val="00136225"/>
    <w:rsid w:val="001366A5"/>
    <w:rsid w:val="00136FEF"/>
    <w:rsid w:val="001374F9"/>
    <w:rsid w:val="0013788C"/>
    <w:rsid w:val="001403AD"/>
    <w:rsid w:val="00140808"/>
    <w:rsid w:val="001417F3"/>
    <w:rsid w:val="00141D35"/>
    <w:rsid w:val="00141ED8"/>
    <w:rsid w:val="001426EC"/>
    <w:rsid w:val="00142FBF"/>
    <w:rsid w:val="0014351A"/>
    <w:rsid w:val="0014432C"/>
    <w:rsid w:val="0014516A"/>
    <w:rsid w:val="00145E31"/>
    <w:rsid w:val="001467C7"/>
    <w:rsid w:val="001468C2"/>
    <w:rsid w:val="00147D3E"/>
    <w:rsid w:val="00150B88"/>
    <w:rsid w:val="00151622"/>
    <w:rsid w:val="001516AD"/>
    <w:rsid w:val="001519F7"/>
    <w:rsid w:val="00151D1D"/>
    <w:rsid w:val="001521C0"/>
    <w:rsid w:val="0015228D"/>
    <w:rsid w:val="00153164"/>
    <w:rsid w:val="00153247"/>
    <w:rsid w:val="0015396C"/>
    <w:rsid w:val="001553CF"/>
    <w:rsid w:val="001556DE"/>
    <w:rsid w:val="00156660"/>
    <w:rsid w:val="00156F0E"/>
    <w:rsid w:val="00160E9F"/>
    <w:rsid w:val="00161138"/>
    <w:rsid w:val="00161E76"/>
    <w:rsid w:val="00161EBE"/>
    <w:rsid w:val="0016226A"/>
    <w:rsid w:val="00162AC2"/>
    <w:rsid w:val="00162F90"/>
    <w:rsid w:val="00162FE3"/>
    <w:rsid w:val="0016380C"/>
    <w:rsid w:val="0016418D"/>
    <w:rsid w:val="0016594E"/>
    <w:rsid w:val="00166525"/>
    <w:rsid w:val="00167253"/>
    <w:rsid w:val="001673B8"/>
    <w:rsid w:val="00167830"/>
    <w:rsid w:val="00167BEE"/>
    <w:rsid w:val="00167F40"/>
    <w:rsid w:val="00167FF6"/>
    <w:rsid w:val="001705A5"/>
    <w:rsid w:val="00170724"/>
    <w:rsid w:val="00170C46"/>
    <w:rsid w:val="001718BB"/>
    <w:rsid w:val="00171B80"/>
    <w:rsid w:val="00171E95"/>
    <w:rsid w:val="0017224D"/>
    <w:rsid w:val="00173094"/>
    <w:rsid w:val="001745BB"/>
    <w:rsid w:val="00174E5E"/>
    <w:rsid w:val="00174F7E"/>
    <w:rsid w:val="00175621"/>
    <w:rsid w:val="0017679F"/>
    <w:rsid w:val="00176E9F"/>
    <w:rsid w:val="00177153"/>
    <w:rsid w:val="0017787E"/>
    <w:rsid w:val="00180F6F"/>
    <w:rsid w:val="00180FC0"/>
    <w:rsid w:val="001821A5"/>
    <w:rsid w:val="00182635"/>
    <w:rsid w:val="001827C2"/>
    <w:rsid w:val="001845F4"/>
    <w:rsid w:val="001846BF"/>
    <w:rsid w:val="00184F95"/>
    <w:rsid w:val="00186993"/>
    <w:rsid w:val="00190AA4"/>
    <w:rsid w:val="0019160F"/>
    <w:rsid w:val="00191BB2"/>
    <w:rsid w:val="001920A4"/>
    <w:rsid w:val="00192720"/>
    <w:rsid w:val="001929E4"/>
    <w:rsid w:val="00192F99"/>
    <w:rsid w:val="0019323D"/>
    <w:rsid w:val="00193421"/>
    <w:rsid w:val="00193CF8"/>
    <w:rsid w:val="00194659"/>
    <w:rsid w:val="00194803"/>
    <w:rsid w:val="00195BBE"/>
    <w:rsid w:val="00196119"/>
    <w:rsid w:val="00196B12"/>
    <w:rsid w:val="00197272"/>
    <w:rsid w:val="00197311"/>
    <w:rsid w:val="00197A24"/>
    <w:rsid w:val="00197B5B"/>
    <w:rsid w:val="001A05A2"/>
    <w:rsid w:val="001A0CE6"/>
    <w:rsid w:val="001A0F43"/>
    <w:rsid w:val="001A2284"/>
    <w:rsid w:val="001A264F"/>
    <w:rsid w:val="001A48F8"/>
    <w:rsid w:val="001A7847"/>
    <w:rsid w:val="001B05A0"/>
    <w:rsid w:val="001B11F1"/>
    <w:rsid w:val="001B12CA"/>
    <w:rsid w:val="001B17B8"/>
    <w:rsid w:val="001B1D62"/>
    <w:rsid w:val="001B2CB9"/>
    <w:rsid w:val="001B2E59"/>
    <w:rsid w:val="001B3169"/>
    <w:rsid w:val="001B316D"/>
    <w:rsid w:val="001B39E3"/>
    <w:rsid w:val="001B3DAD"/>
    <w:rsid w:val="001B3F4F"/>
    <w:rsid w:val="001B4F0D"/>
    <w:rsid w:val="001B5B6F"/>
    <w:rsid w:val="001B5FF4"/>
    <w:rsid w:val="001B6DC4"/>
    <w:rsid w:val="001B7F19"/>
    <w:rsid w:val="001C189F"/>
    <w:rsid w:val="001C2DEF"/>
    <w:rsid w:val="001C2EC6"/>
    <w:rsid w:val="001C389F"/>
    <w:rsid w:val="001C485B"/>
    <w:rsid w:val="001C485C"/>
    <w:rsid w:val="001C4966"/>
    <w:rsid w:val="001C6274"/>
    <w:rsid w:val="001C63D0"/>
    <w:rsid w:val="001C6BCE"/>
    <w:rsid w:val="001C76B5"/>
    <w:rsid w:val="001D096E"/>
    <w:rsid w:val="001D0A90"/>
    <w:rsid w:val="001D0F9F"/>
    <w:rsid w:val="001D1376"/>
    <w:rsid w:val="001D1A41"/>
    <w:rsid w:val="001D1D9F"/>
    <w:rsid w:val="001D2846"/>
    <w:rsid w:val="001D2AFA"/>
    <w:rsid w:val="001D2C90"/>
    <w:rsid w:val="001D2E22"/>
    <w:rsid w:val="001D32D7"/>
    <w:rsid w:val="001D3607"/>
    <w:rsid w:val="001D4C5D"/>
    <w:rsid w:val="001D4E60"/>
    <w:rsid w:val="001D51EC"/>
    <w:rsid w:val="001D52B4"/>
    <w:rsid w:val="001D53AD"/>
    <w:rsid w:val="001D5B1E"/>
    <w:rsid w:val="001D5EE2"/>
    <w:rsid w:val="001D7C53"/>
    <w:rsid w:val="001D7CD2"/>
    <w:rsid w:val="001E16D0"/>
    <w:rsid w:val="001E1AD6"/>
    <w:rsid w:val="001E2419"/>
    <w:rsid w:val="001E2580"/>
    <w:rsid w:val="001E2679"/>
    <w:rsid w:val="001E2780"/>
    <w:rsid w:val="001E293B"/>
    <w:rsid w:val="001E2FDA"/>
    <w:rsid w:val="001E2FFF"/>
    <w:rsid w:val="001E34EB"/>
    <w:rsid w:val="001E4B7B"/>
    <w:rsid w:val="001E4E7D"/>
    <w:rsid w:val="001E4F95"/>
    <w:rsid w:val="001E50A7"/>
    <w:rsid w:val="001E5687"/>
    <w:rsid w:val="001E58C9"/>
    <w:rsid w:val="001E5DF3"/>
    <w:rsid w:val="001E7452"/>
    <w:rsid w:val="001E749F"/>
    <w:rsid w:val="001F0640"/>
    <w:rsid w:val="001F1545"/>
    <w:rsid w:val="001F17FD"/>
    <w:rsid w:val="001F25B6"/>
    <w:rsid w:val="001F265A"/>
    <w:rsid w:val="001F30E4"/>
    <w:rsid w:val="001F3D40"/>
    <w:rsid w:val="001F414C"/>
    <w:rsid w:val="001F4CDB"/>
    <w:rsid w:val="001F51F9"/>
    <w:rsid w:val="001F5338"/>
    <w:rsid w:val="001F5A18"/>
    <w:rsid w:val="001F5AAD"/>
    <w:rsid w:val="001F6491"/>
    <w:rsid w:val="001F7202"/>
    <w:rsid w:val="00200D9C"/>
    <w:rsid w:val="002014C9"/>
    <w:rsid w:val="00201FFC"/>
    <w:rsid w:val="00202482"/>
    <w:rsid w:val="00202649"/>
    <w:rsid w:val="00202896"/>
    <w:rsid w:val="00202CC8"/>
    <w:rsid w:val="00202FAB"/>
    <w:rsid w:val="002030FB"/>
    <w:rsid w:val="0020357E"/>
    <w:rsid w:val="00203FA1"/>
    <w:rsid w:val="00204ADB"/>
    <w:rsid w:val="002057D8"/>
    <w:rsid w:val="0020640F"/>
    <w:rsid w:val="00206EB1"/>
    <w:rsid w:val="002072A6"/>
    <w:rsid w:val="002079DC"/>
    <w:rsid w:val="00207FDF"/>
    <w:rsid w:val="002110E3"/>
    <w:rsid w:val="00211A5F"/>
    <w:rsid w:val="00211D3E"/>
    <w:rsid w:val="00212895"/>
    <w:rsid w:val="00212CC6"/>
    <w:rsid w:val="00213AE5"/>
    <w:rsid w:val="00217605"/>
    <w:rsid w:val="00217DA7"/>
    <w:rsid w:val="00220562"/>
    <w:rsid w:val="0022069C"/>
    <w:rsid w:val="0022078D"/>
    <w:rsid w:val="002207E5"/>
    <w:rsid w:val="00220BED"/>
    <w:rsid w:val="00221481"/>
    <w:rsid w:val="0022228B"/>
    <w:rsid w:val="002222B2"/>
    <w:rsid w:val="00222416"/>
    <w:rsid w:val="002225FB"/>
    <w:rsid w:val="00222AC3"/>
    <w:rsid w:val="00223C84"/>
    <w:rsid w:val="0022430D"/>
    <w:rsid w:val="0022434D"/>
    <w:rsid w:val="002244F1"/>
    <w:rsid w:val="00224602"/>
    <w:rsid w:val="00226AA4"/>
    <w:rsid w:val="00227523"/>
    <w:rsid w:val="002313F2"/>
    <w:rsid w:val="0023216B"/>
    <w:rsid w:val="00232C35"/>
    <w:rsid w:val="00233643"/>
    <w:rsid w:val="002344FD"/>
    <w:rsid w:val="00234A5E"/>
    <w:rsid w:val="00234D7F"/>
    <w:rsid w:val="00235E47"/>
    <w:rsid w:val="00236E64"/>
    <w:rsid w:val="0023753E"/>
    <w:rsid w:val="00237623"/>
    <w:rsid w:val="00237B63"/>
    <w:rsid w:val="002409E4"/>
    <w:rsid w:val="002422E9"/>
    <w:rsid w:val="002424F8"/>
    <w:rsid w:val="0024291F"/>
    <w:rsid w:val="00242DBF"/>
    <w:rsid w:val="00242F74"/>
    <w:rsid w:val="002435DB"/>
    <w:rsid w:val="0024375C"/>
    <w:rsid w:val="002442D3"/>
    <w:rsid w:val="00244ECA"/>
    <w:rsid w:val="0024522A"/>
    <w:rsid w:val="00245C3E"/>
    <w:rsid w:val="0024626C"/>
    <w:rsid w:val="002503C5"/>
    <w:rsid w:val="00250A86"/>
    <w:rsid w:val="00250C20"/>
    <w:rsid w:val="00251BB5"/>
    <w:rsid w:val="0025449B"/>
    <w:rsid w:val="0025530A"/>
    <w:rsid w:val="00255493"/>
    <w:rsid w:val="00255534"/>
    <w:rsid w:val="00255A6A"/>
    <w:rsid w:val="00255ABD"/>
    <w:rsid w:val="002566AB"/>
    <w:rsid w:val="00256DA5"/>
    <w:rsid w:val="00257F23"/>
    <w:rsid w:val="00260E08"/>
    <w:rsid w:val="0026127C"/>
    <w:rsid w:val="0026133C"/>
    <w:rsid w:val="002615F5"/>
    <w:rsid w:val="00261B97"/>
    <w:rsid w:val="00261C77"/>
    <w:rsid w:val="00262688"/>
    <w:rsid w:val="00263A46"/>
    <w:rsid w:val="002643F9"/>
    <w:rsid w:val="0026463C"/>
    <w:rsid w:val="00265035"/>
    <w:rsid w:val="00265333"/>
    <w:rsid w:val="00265666"/>
    <w:rsid w:val="0026590E"/>
    <w:rsid w:val="002678C4"/>
    <w:rsid w:val="00270B14"/>
    <w:rsid w:val="00272924"/>
    <w:rsid w:val="00272C16"/>
    <w:rsid w:val="00272C26"/>
    <w:rsid w:val="00273AEB"/>
    <w:rsid w:val="00274758"/>
    <w:rsid w:val="002747A8"/>
    <w:rsid w:val="00276482"/>
    <w:rsid w:val="00280403"/>
    <w:rsid w:val="00281772"/>
    <w:rsid w:val="002829DE"/>
    <w:rsid w:val="00282B17"/>
    <w:rsid w:val="00283BC7"/>
    <w:rsid w:val="00284C95"/>
    <w:rsid w:val="00284DE4"/>
    <w:rsid w:val="00284F10"/>
    <w:rsid w:val="00285218"/>
    <w:rsid w:val="0028551A"/>
    <w:rsid w:val="00285759"/>
    <w:rsid w:val="00286D20"/>
    <w:rsid w:val="002871BC"/>
    <w:rsid w:val="0028740F"/>
    <w:rsid w:val="002878AE"/>
    <w:rsid w:val="0028791F"/>
    <w:rsid w:val="00290543"/>
    <w:rsid w:val="002905C8"/>
    <w:rsid w:val="002905D8"/>
    <w:rsid w:val="00290EC8"/>
    <w:rsid w:val="0029116A"/>
    <w:rsid w:val="00291E26"/>
    <w:rsid w:val="00292121"/>
    <w:rsid w:val="0029219A"/>
    <w:rsid w:val="002922BF"/>
    <w:rsid w:val="002933B4"/>
    <w:rsid w:val="00293712"/>
    <w:rsid w:val="00294A80"/>
    <w:rsid w:val="00295707"/>
    <w:rsid w:val="0029595B"/>
    <w:rsid w:val="002959FE"/>
    <w:rsid w:val="00295B5F"/>
    <w:rsid w:val="00295C9E"/>
    <w:rsid w:val="00295F38"/>
    <w:rsid w:val="00296428"/>
    <w:rsid w:val="00296ED0"/>
    <w:rsid w:val="0029754B"/>
    <w:rsid w:val="00297E16"/>
    <w:rsid w:val="002A02FB"/>
    <w:rsid w:val="002A06E8"/>
    <w:rsid w:val="002A1D08"/>
    <w:rsid w:val="002A2763"/>
    <w:rsid w:val="002A2AEC"/>
    <w:rsid w:val="002A3828"/>
    <w:rsid w:val="002A4637"/>
    <w:rsid w:val="002A49E2"/>
    <w:rsid w:val="002A54C9"/>
    <w:rsid w:val="002A5C90"/>
    <w:rsid w:val="002A6E32"/>
    <w:rsid w:val="002A6F41"/>
    <w:rsid w:val="002A707B"/>
    <w:rsid w:val="002A78DC"/>
    <w:rsid w:val="002B0F80"/>
    <w:rsid w:val="002B1158"/>
    <w:rsid w:val="002B1976"/>
    <w:rsid w:val="002B1B93"/>
    <w:rsid w:val="002B23BE"/>
    <w:rsid w:val="002B2746"/>
    <w:rsid w:val="002B3371"/>
    <w:rsid w:val="002B35D6"/>
    <w:rsid w:val="002B35DB"/>
    <w:rsid w:val="002B3932"/>
    <w:rsid w:val="002B41BD"/>
    <w:rsid w:val="002B4DE3"/>
    <w:rsid w:val="002B5990"/>
    <w:rsid w:val="002B61C7"/>
    <w:rsid w:val="002B7422"/>
    <w:rsid w:val="002B7C6B"/>
    <w:rsid w:val="002C0985"/>
    <w:rsid w:val="002C1CCA"/>
    <w:rsid w:val="002C232B"/>
    <w:rsid w:val="002C3711"/>
    <w:rsid w:val="002C4890"/>
    <w:rsid w:val="002C54EA"/>
    <w:rsid w:val="002C5B74"/>
    <w:rsid w:val="002C5F49"/>
    <w:rsid w:val="002C6F30"/>
    <w:rsid w:val="002C75B3"/>
    <w:rsid w:val="002C7722"/>
    <w:rsid w:val="002C7CD2"/>
    <w:rsid w:val="002D0745"/>
    <w:rsid w:val="002D1B8A"/>
    <w:rsid w:val="002D1EE2"/>
    <w:rsid w:val="002D2023"/>
    <w:rsid w:val="002D2272"/>
    <w:rsid w:val="002D23E7"/>
    <w:rsid w:val="002D2521"/>
    <w:rsid w:val="002D2670"/>
    <w:rsid w:val="002D289A"/>
    <w:rsid w:val="002D2E51"/>
    <w:rsid w:val="002D3155"/>
    <w:rsid w:val="002D3C3D"/>
    <w:rsid w:val="002D5F45"/>
    <w:rsid w:val="002D6162"/>
    <w:rsid w:val="002D6495"/>
    <w:rsid w:val="002D7878"/>
    <w:rsid w:val="002D7D8C"/>
    <w:rsid w:val="002E02CC"/>
    <w:rsid w:val="002E0C42"/>
    <w:rsid w:val="002E0EF6"/>
    <w:rsid w:val="002E1462"/>
    <w:rsid w:val="002E1B51"/>
    <w:rsid w:val="002E276B"/>
    <w:rsid w:val="002E2C23"/>
    <w:rsid w:val="002E44B7"/>
    <w:rsid w:val="002E47E5"/>
    <w:rsid w:val="002E5052"/>
    <w:rsid w:val="002E50E2"/>
    <w:rsid w:val="002E6CAD"/>
    <w:rsid w:val="002E6F18"/>
    <w:rsid w:val="002E6FBE"/>
    <w:rsid w:val="002E7428"/>
    <w:rsid w:val="002E783E"/>
    <w:rsid w:val="002F4594"/>
    <w:rsid w:val="002F4DE5"/>
    <w:rsid w:val="002F523F"/>
    <w:rsid w:val="002F6B2A"/>
    <w:rsid w:val="002F7F76"/>
    <w:rsid w:val="00301099"/>
    <w:rsid w:val="00301221"/>
    <w:rsid w:val="00301BE2"/>
    <w:rsid w:val="00301F59"/>
    <w:rsid w:val="00303631"/>
    <w:rsid w:val="003038F5"/>
    <w:rsid w:val="00304220"/>
    <w:rsid w:val="00304321"/>
    <w:rsid w:val="00304655"/>
    <w:rsid w:val="00304821"/>
    <w:rsid w:val="003052FB"/>
    <w:rsid w:val="00305347"/>
    <w:rsid w:val="00305E2A"/>
    <w:rsid w:val="003065D5"/>
    <w:rsid w:val="00306B2A"/>
    <w:rsid w:val="00306E5B"/>
    <w:rsid w:val="003072FB"/>
    <w:rsid w:val="00307A85"/>
    <w:rsid w:val="00307AF4"/>
    <w:rsid w:val="0031086B"/>
    <w:rsid w:val="00312FE4"/>
    <w:rsid w:val="00314974"/>
    <w:rsid w:val="00314CB0"/>
    <w:rsid w:val="00314CF5"/>
    <w:rsid w:val="00314D1B"/>
    <w:rsid w:val="00314D82"/>
    <w:rsid w:val="00314FFB"/>
    <w:rsid w:val="00315454"/>
    <w:rsid w:val="00317018"/>
    <w:rsid w:val="00317133"/>
    <w:rsid w:val="003176CB"/>
    <w:rsid w:val="00317891"/>
    <w:rsid w:val="00317C5E"/>
    <w:rsid w:val="00320687"/>
    <w:rsid w:val="00320E04"/>
    <w:rsid w:val="0032129E"/>
    <w:rsid w:val="003225CA"/>
    <w:rsid w:val="00322EA7"/>
    <w:rsid w:val="00323D7F"/>
    <w:rsid w:val="00325239"/>
    <w:rsid w:val="00325E11"/>
    <w:rsid w:val="00326BB7"/>
    <w:rsid w:val="00330195"/>
    <w:rsid w:val="0033121C"/>
    <w:rsid w:val="003316A6"/>
    <w:rsid w:val="0033180D"/>
    <w:rsid w:val="0033248C"/>
    <w:rsid w:val="0033266B"/>
    <w:rsid w:val="00333085"/>
    <w:rsid w:val="00333C2C"/>
    <w:rsid w:val="00334303"/>
    <w:rsid w:val="003348EB"/>
    <w:rsid w:val="00334AF9"/>
    <w:rsid w:val="00335727"/>
    <w:rsid w:val="00335A0D"/>
    <w:rsid w:val="00335C7E"/>
    <w:rsid w:val="00336C0E"/>
    <w:rsid w:val="003370F6"/>
    <w:rsid w:val="003409CF"/>
    <w:rsid w:val="00340A09"/>
    <w:rsid w:val="00340EFD"/>
    <w:rsid w:val="00341166"/>
    <w:rsid w:val="00342482"/>
    <w:rsid w:val="00343CAB"/>
    <w:rsid w:val="00344641"/>
    <w:rsid w:val="003446F6"/>
    <w:rsid w:val="003455D8"/>
    <w:rsid w:val="00345A38"/>
    <w:rsid w:val="00345B02"/>
    <w:rsid w:val="003462EB"/>
    <w:rsid w:val="00346878"/>
    <w:rsid w:val="00346954"/>
    <w:rsid w:val="003469B2"/>
    <w:rsid w:val="00347C14"/>
    <w:rsid w:val="003504A5"/>
    <w:rsid w:val="00352D24"/>
    <w:rsid w:val="003536E7"/>
    <w:rsid w:val="00353977"/>
    <w:rsid w:val="0035482F"/>
    <w:rsid w:val="00354881"/>
    <w:rsid w:val="00354CF2"/>
    <w:rsid w:val="00354ECE"/>
    <w:rsid w:val="00355547"/>
    <w:rsid w:val="0035613D"/>
    <w:rsid w:val="00356222"/>
    <w:rsid w:val="00356618"/>
    <w:rsid w:val="00356B43"/>
    <w:rsid w:val="003576AE"/>
    <w:rsid w:val="00357A2A"/>
    <w:rsid w:val="00357D25"/>
    <w:rsid w:val="003606A4"/>
    <w:rsid w:val="00360F69"/>
    <w:rsid w:val="003612BB"/>
    <w:rsid w:val="003612E7"/>
    <w:rsid w:val="00361314"/>
    <w:rsid w:val="00362C1F"/>
    <w:rsid w:val="003636F7"/>
    <w:rsid w:val="00364000"/>
    <w:rsid w:val="00365ADB"/>
    <w:rsid w:val="00367C56"/>
    <w:rsid w:val="00367E03"/>
    <w:rsid w:val="00370321"/>
    <w:rsid w:val="00370824"/>
    <w:rsid w:val="00370E29"/>
    <w:rsid w:val="00371511"/>
    <w:rsid w:val="003721D7"/>
    <w:rsid w:val="0037225E"/>
    <w:rsid w:val="00372C54"/>
    <w:rsid w:val="00372E0C"/>
    <w:rsid w:val="003748D3"/>
    <w:rsid w:val="00374B34"/>
    <w:rsid w:val="003759D8"/>
    <w:rsid w:val="00376F6F"/>
    <w:rsid w:val="00377402"/>
    <w:rsid w:val="00380E76"/>
    <w:rsid w:val="003827FF"/>
    <w:rsid w:val="00382B10"/>
    <w:rsid w:val="00382E31"/>
    <w:rsid w:val="00382ED6"/>
    <w:rsid w:val="003830DC"/>
    <w:rsid w:val="00383924"/>
    <w:rsid w:val="00384FF0"/>
    <w:rsid w:val="0038544F"/>
    <w:rsid w:val="0038602C"/>
    <w:rsid w:val="00386199"/>
    <w:rsid w:val="003871DF"/>
    <w:rsid w:val="0038731C"/>
    <w:rsid w:val="003900D8"/>
    <w:rsid w:val="00390426"/>
    <w:rsid w:val="003910E1"/>
    <w:rsid w:val="00391259"/>
    <w:rsid w:val="0039143D"/>
    <w:rsid w:val="00391953"/>
    <w:rsid w:val="003923F6"/>
    <w:rsid w:val="003925AC"/>
    <w:rsid w:val="003926B7"/>
    <w:rsid w:val="00392951"/>
    <w:rsid w:val="00392C75"/>
    <w:rsid w:val="0039451B"/>
    <w:rsid w:val="003957FF"/>
    <w:rsid w:val="00395B16"/>
    <w:rsid w:val="00395E38"/>
    <w:rsid w:val="00395FC5"/>
    <w:rsid w:val="0039618D"/>
    <w:rsid w:val="003965F5"/>
    <w:rsid w:val="0039689A"/>
    <w:rsid w:val="00397813"/>
    <w:rsid w:val="003A02EB"/>
    <w:rsid w:val="003A065D"/>
    <w:rsid w:val="003A144C"/>
    <w:rsid w:val="003A1D29"/>
    <w:rsid w:val="003A1D44"/>
    <w:rsid w:val="003A445D"/>
    <w:rsid w:val="003A4577"/>
    <w:rsid w:val="003A4973"/>
    <w:rsid w:val="003A605F"/>
    <w:rsid w:val="003A6A8B"/>
    <w:rsid w:val="003B15E9"/>
    <w:rsid w:val="003B1BCC"/>
    <w:rsid w:val="003B1C95"/>
    <w:rsid w:val="003B4C6F"/>
    <w:rsid w:val="003B5177"/>
    <w:rsid w:val="003B62EE"/>
    <w:rsid w:val="003B788B"/>
    <w:rsid w:val="003B7BEA"/>
    <w:rsid w:val="003C0E3D"/>
    <w:rsid w:val="003C1468"/>
    <w:rsid w:val="003C2354"/>
    <w:rsid w:val="003C2756"/>
    <w:rsid w:val="003C34EE"/>
    <w:rsid w:val="003C3617"/>
    <w:rsid w:val="003C395D"/>
    <w:rsid w:val="003C39D0"/>
    <w:rsid w:val="003C3C97"/>
    <w:rsid w:val="003C3D0A"/>
    <w:rsid w:val="003C430E"/>
    <w:rsid w:val="003C45F6"/>
    <w:rsid w:val="003C6701"/>
    <w:rsid w:val="003C6E56"/>
    <w:rsid w:val="003C7462"/>
    <w:rsid w:val="003C76B5"/>
    <w:rsid w:val="003C7995"/>
    <w:rsid w:val="003C79E7"/>
    <w:rsid w:val="003D0575"/>
    <w:rsid w:val="003D0D10"/>
    <w:rsid w:val="003D118D"/>
    <w:rsid w:val="003D1C9B"/>
    <w:rsid w:val="003D22C8"/>
    <w:rsid w:val="003D3682"/>
    <w:rsid w:val="003D39CE"/>
    <w:rsid w:val="003D415A"/>
    <w:rsid w:val="003D43E2"/>
    <w:rsid w:val="003D4702"/>
    <w:rsid w:val="003D4BCD"/>
    <w:rsid w:val="003D545C"/>
    <w:rsid w:val="003D5F9A"/>
    <w:rsid w:val="003D62B7"/>
    <w:rsid w:val="003D6E5E"/>
    <w:rsid w:val="003E0091"/>
    <w:rsid w:val="003E00AF"/>
    <w:rsid w:val="003E04CA"/>
    <w:rsid w:val="003E0586"/>
    <w:rsid w:val="003E10B1"/>
    <w:rsid w:val="003E1703"/>
    <w:rsid w:val="003E1E87"/>
    <w:rsid w:val="003E2419"/>
    <w:rsid w:val="003E26E8"/>
    <w:rsid w:val="003E540E"/>
    <w:rsid w:val="003E5FF7"/>
    <w:rsid w:val="003E651C"/>
    <w:rsid w:val="003E71E8"/>
    <w:rsid w:val="003E77A3"/>
    <w:rsid w:val="003E7C6C"/>
    <w:rsid w:val="003F04F2"/>
    <w:rsid w:val="003F0D19"/>
    <w:rsid w:val="003F24C0"/>
    <w:rsid w:val="003F329E"/>
    <w:rsid w:val="003F33B4"/>
    <w:rsid w:val="003F43E4"/>
    <w:rsid w:val="003F4786"/>
    <w:rsid w:val="003F4945"/>
    <w:rsid w:val="003F4C25"/>
    <w:rsid w:val="003F4C63"/>
    <w:rsid w:val="003F575F"/>
    <w:rsid w:val="003F595A"/>
    <w:rsid w:val="003F60AF"/>
    <w:rsid w:val="003F69C7"/>
    <w:rsid w:val="003F73E8"/>
    <w:rsid w:val="003F7BE5"/>
    <w:rsid w:val="00400D6E"/>
    <w:rsid w:val="0040154C"/>
    <w:rsid w:val="0040161E"/>
    <w:rsid w:val="004016F3"/>
    <w:rsid w:val="00402756"/>
    <w:rsid w:val="00402C29"/>
    <w:rsid w:val="004030DB"/>
    <w:rsid w:val="004032B9"/>
    <w:rsid w:val="00403CF7"/>
    <w:rsid w:val="00404B6D"/>
    <w:rsid w:val="00406375"/>
    <w:rsid w:val="0040671E"/>
    <w:rsid w:val="004067BE"/>
    <w:rsid w:val="00411E85"/>
    <w:rsid w:val="00412035"/>
    <w:rsid w:val="004127BC"/>
    <w:rsid w:val="00412E71"/>
    <w:rsid w:val="00413B0B"/>
    <w:rsid w:val="0041452E"/>
    <w:rsid w:val="00415E47"/>
    <w:rsid w:val="00416D34"/>
    <w:rsid w:val="00416D73"/>
    <w:rsid w:val="00416ECB"/>
    <w:rsid w:val="0041743E"/>
    <w:rsid w:val="00417BA6"/>
    <w:rsid w:val="00420A80"/>
    <w:rsid w:val="0042111B"/>
    <w:rsid w:val="00421158"/>
    <w:rsid w:val="00421708"/>
    <w:rsid w:val="004221D5"/>
    <w:rsid w:val="00422BF4"/>
    <w:rsid w:val="00427AAB"/>
    <w:rsid w:val="00427EAE"/>
    <w:rsid w:val="00431AD8"/>
    <w:rsid w:val="004320E8"/>
    <w:rsid w:val="004322B2"/>
    <w:rsid w:val="0043296B"/>
    <w:rsid w:val="00433554"/>
    <w:rsid w:val="004336C7"/>
    <w:rsid w:val="00433CA2"/>
    <w:rsid w:val="00434085"/>
    <w:rsid w:val="0043445E"/>
    <w:rsid w:val="00435099"/>
    <w:rsid w:val="004378A5"/>
    <w:rsid w:val="00441108"/>
    <w:rsid w:val="00441622"/>
    <w:rsid w:val="00441861"/>
    <w:rsid w:val="00441867"/>
    <w:rsid w:val="004418DD"/>
    <w:rsid w:val="00441C5A"/>
    <w:rsid w:val="0044267F"/>
    <w:rsid w:val="004429B4"/>
    <w:rsid w:val="00443B76"/>
    <w:rsid w:val="00443C82"/>
    <w:rsid w:val="00443D3B"/>
    <w:rsid w:val="00444173"/>
    <w:rsid w:val="00444D73"/>
    <w:rsid w:val="00444F74"/>
    <w:rsid w:val="00444FEA"/>
    <w:rsid w:val="00445F8C"/>
    <w:rsid w:val="00446805"/>
    <w:rsid w:val="00446875"/>
    <w:rsid w:val="0044691A"/>
    <w:rsid w:val="0044784C"/>
    <w:rsid w:val="00447B2E"/>
    <w:rsid w:val="00447DAF"/>
    <w:rsid w:val="004506A1"/>
    <w:rsid w:val="00451F92"/>
    <w:rsid w:val="00451F97"/>
    <w:rsid w:val="00452F87"/>
    <w:rsid w:val="00453598"/>
    <w:rsid w:val="004538BA"/>
    <w:rsid w:val="00453E6A"/>
    <w:rsid w:val="00453FDC"/>
    <w:rsid w:val="00455350"/>
    <w:rsid w:val="00456765"/>
    <w:rsid w:val="00456B75"/>
    <w:rsid w:val="00456DB3"/>
    <w:rsid w:val="00457048"/>
    <w:rsid w:val="0045745A"/>
    <w:rsid w:val="00457C8A"/>
    <w:rsid w:val="00457E5D"/>
    <w:rsid w:val="0046120B"/>
    <w:rsid w:val="004625C9"/>
    <w:rsid w:val="00463899"/>
    <w:rsid w:val="00464160"/>
    <w:rsid w:val="004643D9"/>
    <w:rsid w:val="004648FD"/>
    <w:rsid w:val="00464A32"/>
    <w:rsid w:val="004650FB"/>
    <w:rsid w:val="00465DA6"/>
    <w:rsid w:val="00465E00"/>
    <w:rsid w:val="00466DA7"/>
    <w:rsid w:val="004670BF"/>
    <w:rsid w:val="004704F6"/>
    <w:rsid w:val="0047081D"/>
    <w:rsid w:val="0047191F"/>
    <w:rsid w:val="00472477"/>
    <w:rsid w:val="00472DF9"/>
    <w:rsid w:val="00473B00"/>
    <w:rsid w:val="00473D44"/>
    <w:rsid w:val="00474171"/>
    <w:rsid w:val="00474C9F"/>
    <w:rsid w:val="00475D71"/>
    <w:rsid w:val="00476B54"/>
    <w:rsid w:val="00476B91"/>
    <w:rsid w:val="00477862"/>
    <w:rsid w:val="00477DED"/>
    <w:rsid w:val="00480425"/>
    <w:rsid w:val="00481318"/>
    <w:rsid w:val="00481AD8"/>
    <w:rsid w:val="00481B82"/>
    <w:rsid w:val="00481DF9"/>
    <w:rsid w:val="004821E1"/>
    <w:rsid w:val="00482815"/>
    <w:rsid w:val="00482B0E"/>
    <w:rsid w:val="00483350"/>
    <w:rsid w:val="00483990"/>
    <w:rsid w:val="00484A56"/>
    <w:rsid w:val="004859A2"/>
    <w:rsid w:val="00486DF0"/>
    <w:rsid w:val="004900BD"/>
    <w:rsid w:val="00491400"/>
    <w:rsid w:val="00492277"/>
    <w:rsid w:val="004922A8"/>
    <w:rsid w:val="004932C6"/>
    <w:rsid w:val="00494326"/>
    <w:rsid w:val="00494F25"/>
    <w:rsid w:val="00495099"/>
    <w:rsid w:val="004957DF"/>
    <w:rsid w:val="00496FE8"/>
    <w:rsid w:val="00497057"/>
    <w:rsid w:val="004A04A3"/>
    <w:rsid w:val="004A066C"/>
    <w:rsid w:val="004A0C67"/>
    <w:rsid w:val="004A1347"/>
    <w:rsid w:val="004A1CC6"/>
    <w:rsid w:val="004A2FA3"/>
    <w:rsid w:val="004A308D"/>
    <w:rsid w:val="004A4397"/>
    <w:rsid w:val="004A53ED"/>
    <w:rsid w:val="004A62AC"/>
    <w:rsid w:val="004A6E0E"/>
    <w:rsid w:val="004B13D5"/>
    <w:rsid w:val="004B1E1C"/>
    <w:rsid w:val="004B223E"/>
    <w:rsid w:val="004B2B87"/>
    <w:rsid w:val="004B2C07"/>
    <w:rsid w:val="004B2ED4"/>
    <w:rsid w:val="004B3480"/>
    <w:rsid w:val="004B359D"/>
    <w:rsid w:val="004B3BF1"/>
    <w:rsid w:val="004B3D10"/>
    <w:rsid w:val="004B3DE4"/>
    <w:rsid w:val="004B67B1"/>
    <w:rsid w:val="004B67D7"/>
    <w:rsid w:val="004B7DB7"/>
    <w:rsid w:val="004B7F26"/>
    <w:rsid w:val="004C2556"/>
    <w:rsid w:val="004C2753"/>
    <w:rsid w:val="004C2F5B"/>
    <w:rsid w:val="004C31F7"/>
    <w:rsid w:val="004C3BB8"/>
    <w:rsid w:val="004C438E"/>
    <w:rsid w:val="004C4F5E"/>
    <w:rsid w:val="004C79AD"/>
    <w:rsid w:val="004C7FA3"/>
    <w:rsid w:val="004D037C"/>
    <w:rsid w:val="004D0B85"/>
    <w:rsid w:val="004D12B4"/>
    <w:rsid w:val="004D1769"/>
    <w:rsid w:val="004D21F7"/>
    <w:rsid w:val="004D29E2"/>
    <w:rsid w:val="004D2ED4"/>
    <w:rsid w:val="004D3494"/>
    <w:rsid w:val="004D49AF"/>
    <w:rsid w:val="004D58BB"/>
    <w:rsid w:val="004D6249"/>
    <w:rsid w:val="004D674E"/>
    <w:rsid w:val="004D709C"/>
    <w:rsid w:val="004E1CA4"/>
    <w:rsid w:val="004E3CE8"/>
    <w:rsid w:val="004E4129"/>
    <w:rsid w:val="004E4196"/>
    <w:rsid w:val="004E437A"/>
    <w:rsid w:val="004E4592"/>
    <w:rsid w:val="004E4658"/>
    <w:rsid w:val="004E4C40"/>
    <w:rsid w:val="004E526B"/>
    <w:rsid w:val="004E64E0"/>
    <w:rsid w:val="004F0DC0"/>
    <w:rsid w:val="004F1537"/>
    <w:rsid w:val="004F16C4"/>
    <w:rsid w:val="004F20D3"/>
    <w:rsid w:val="004F31D8"/>
    <w:rsid w:val="004F3898"/>
    <w:rsid w:val="004F56B6"/>
    <w:rsid w:val="004F5B05"/>
    <w:rsid w:val="004F5B50"/>
    <w:rsid w:val="004F5BC5"/>
    <w:rsid w:val="004F6BF7"/>
    <w:rsid w:val="004F7C50"/>
    <w:rsid w:val="004F7E91"/>
    <w:rsid w:val="004F7EF3"/>
    <w:rsid w:val="004F7F26"/>
    <w:rsid w:val="00500085"/>
    <w:rsid w:val="005005B6"/>
    <w:rsid w:val="00501A10"/>
    <w:rsid w:val="00501BC8"/>
    <w:rsid w:val="0050224C"/>
    <w:rsid w:val="005037E3"/>
    <w:rsid w:val="00503D56"/>
    <w:rsid w:val="00504BFC"/>
    <w:rsid w:val="00504D74"/>
    <w:rsid w:val="00505AB1"/>
    <w:rsid w:val="00507262"/>
    <w:rsid w:val="005077E1"/>
    <w:rsid w:val="00510519"/>
    <w:rsid w:val="00510631"/>
    <w:rsid w:val="00511099"/>
    <w:rsid w:val="005117FC"/>
    <w:rsid w:val="00511DD6"/>
    <w:rsid w:val="00512089"/>
    <w:rsid w:val="00512377"/>
    <w:rsid w:val="005128BD"/>
    <w:rsid w:val="00512922"/>
    <w:rsid w:val="00513908"/>
    <w:rsid w:val="00514A44"/>
    <w:rsid w:val="00514BCD"/>
    <w:rsid w:val="00514D8A"/>
    <w:rsid w:val="00515F89"/>
    <w:rsid w:val="005171C3"/>
    <w:rsid w:val="00517BE4"/>
    <w:rsid w:val="005200E7"/>
    <w:rsid w:val="005201D9"/>
    <w:rsid w:val="0052035D"/>
    <w:rsid w:val="00520721"/>
    <w:rsid w:val="00520811"/>
    <w:rsid w:val="005214BD"/>
    <w:rsid w:val="00523803"/>
    <w:rsid w:val="00524120"/>
    <w:rsid w:val="00524D9F"/>
    <w:rsid w:val="005257BD"/>
    <w:rsid w:val="00526066"/>
    <w:rsid w:val="00526111"/>
    <w:rsid w:val="0052698B"/>
    <w:rsid w:val="005276C8"/>
    <w:rsid w:val="00530160"/>
    <w:rsid w:val="005310B4"/>
    <w:rsid w:val="005311FD"/>
    <w:rsid w:val="0053193E"/>
    <w:rsid w:val="00531D9B"/>
    <w:rsid w:val="00531E1C"/>
    <w:rsid w:val="00532288"/>
    <w:rsid w:val="00532AFF"/>
    <w:rsid w:val="00532F71"/>
    <w:rsid w:val="0053318F"/>
    <w:rsid w:val="00533AA8"/>
    <w:rsid w:val="00534158"/>
    <w:rsid w:val="005352E0"/>
    <w:rsid w:val="00535C19"/>
    <w:rsid w:val="00536A6C"/>
    <w:rsid w:val="00536BB9"/>
    <w:rsid w:val="00536E0B"/>
    <w:rsid w:val="00537AA0"/>
    <w:rsid w:val="00537F68"/>
    <w:rsid w:val="00540C60"/>
    <w:rsid w:val="005412B8"/>
    <w:rsid w:val="00541E14"/>
    <w:rsid w:val="00542152"/>
    <w:rsid w:val="0054373F"/>
    <w:rsid w:val="005447F3"/>
    <w:rsid w:val="00545072"/>
    <w:rsid w:val="005463FC"/>
    <w:rsid w:val="00550680"/>
    <w:rsid w:val="0055591D"/>
    <w:rsid w:val="00555C5F"/>
    <w:rsid w:val="00555D34"/>
    <w:rsid w:val="005565C3"/>
    <w:rsid w:val="00556AEE"/>
    <w:rsid w:val="00560991"/>
    <w:rsid w:val="00561DBB"/>
    <w:rsid w:val="0056223B"/>
    <w:rsid w:val="005622AC"/>
    <w:rsid w:val="00562747"/>
    <w:rsid w:val="00562949"/>
    <w:rsid w:val="00563436"/>
    <w:rsid w:val="00563666"/>
    <w:rsid w:val="00565D45"/>
    <w:rsid w:val="00566175"/>
    <w:rsid w:val="00566E28"/>
    <w:rsid w:val="00567934"/>
    <w:rsid w:val="00567DF5"/>
    <w:rsid w:val="00570531"/>
    <w:rsid w:val="005705EF"/>
    <w:rsid w:val="0057117E"/>
    <w:rsid w:val="00571453"/>
    <w:rsid w:val="00571485"/>
    <w:rsid w:val="00571E36"/>
    <w:rsid w:val="00572354"/>
    <w:rsid w:val="005727A6"/>
    <w:rsid w:val="00573A0A"/>
    <w:rsid w:val="00574299"/>
    <w:rsid w:val="005744FF"/>
    <w:rsid w:val="005746BF"/>
    <w:rsid w:val="00574B68"/>
    <w:rsid w:val="00574D5C"/>
    <w:rsid w:val="00574D9B"/>
    <w:rsid w:val="00574FC0"/>
    <w:rsid w:val="00575438"/>
    <w:rsid w:val="00575908"/>
    <w:rsid w:val="0057596A"/>
    <w:rsid w:val="00575B1D"/>
    <w:rsid w:val="005767E4"/>
    <w:rsid w:val="005771C7"/>
    <w:rsid w:val="00577D87"/>
    <w:rsid w:val="0058084F"/>
    <w:rsid w:val="00581191"/>
    <w:rsid w:val="005820CC"/>
    <w:rsid w:val="00582F6B"/>
    <w:rsid w:val="0058314F"/>
    <w:rsid w:val="0058336B"/>
    <w:rsid w:val="005842E3"/>
    <w:rsid w:val="005849CA"/>
    <w:rsid w:val="00584F61"/>
    <w:rsid w:val="00584FE0"/>
    <w:rsid w:val="00585640"/>
    <w:rsid w:val="005856C7"/>
    <w:rsid w:val="00585A9F"/>
    <w:rsid w:val="005877B4"/>
    <w:rsid w:val="005877EE"/>
    <w:rsid w:val="00587FCC"/>
    <w:rsid w:val="0059108C"/>
    <w:rsid w:val="00592FBF"/>
    <w:rsid w:val="00593928"/>
    <w:rsid w:val="005939C3"/>
    <w:rsid w:val="00593E2D"/>
    <w:rsid w:val="00594259"/>
    <w:rsid w:val="005945F6"/>
    <w:rsid w:val="00594A7D"/>
    <w:rsid w:val="00595101"/>
    <w:rsid w:val="00595E95"/>
    <w:rsid w:val="00595F34"/>
    <w:rsid w:val="005970B4"/>
    <w:rsid w:val="005A05FC"/>
    <w:rsid w:val="005A0DFC"/>
    <w:rsid w:val="005A0E26"/>
    <w:rsid w:val="005A0FBD"/>
    <w:rsid w:val="005A1031"/>
    <w:rsid w:val="005A164F"/>
    <w:rsid w:val="005A43EC"/>
    <w:rsid w:val="005A4914"/>
    <w:rsid w:val="005A5176"/>
    <w:rsid w:val="005A63A8"/>
    <w:rsid w:val="005A6586"/>
    <w:rsid w:val="005A72DD"/>
    <w:rsid w:val="005A7584"/>
    <w:rsid w:val="005A7798"/>
    <w:rsid w:val="005A78C6"/>
    <w:rsid w:val="005B0658"/>
    <w:rsid w:val="005B0749"/>
    <w:rsid w:val="005B134B"/>
    <w:rsid w:val="005B1477"/>
    <w:rsid w:val="005B3392"/>
    <w:rsid w:val="005B3DD5"/>
    <w:rsid w:val="005B4174"/>
    <w:rsid w:val="005B41D1"/>
    <w:rsid w:val="005B49AB"/>
    <w:rsid w:val="005B4D12"/>
    <w:rsid w:val="005B4DD7"/>
    <w:rsid w:val="005B5C2E"/>
    <w:rsid w:val="005B6101"/>
    <w:rsid w:val="005B6D0C"/>
    <w:rsid w:val="005B770E"/>
    <w:rsid w:val="005B78EC"/>
    <w:rsid w:val="005C0643"/>
    <w:rsid w:val="005C09A2"/>
    <w:rsid w:val="005C0B48"/>
    <w:rsid w:val="005C129D"/>
    <w:rsid w:val="005C222D"/>
    <w:rsid w:val="005C2D87"/>
    <w:rsid w:val="005C314D"/>
    <w:rsid w:val="005C4281"/>
    <w:rsid w:val="005C4E48"/>
    <w:rsid w:val="005C63BD"/>
    <w:rsid w:val="005C63F1"/>
    <w:rsid w:val="005C6E39"/>
    <w:rsid w:val="005D00C9"/>
    <w:rsid w:val="005D0264"/>
    <w:rsid w:val="005D0662"/>
    <w:rsid w:val="005D0A1D"/>
    <w:rsid w:val="005D0E17"/>
    <w:rsid w:val="005D209E"/>
    <w:rsid w:val="005D3A09"/>
    <w:rsid w:val="005D4609"/>
    <w:rsid w:val="005D513B"/>
    <w:rsid w:val="005D5E98"/>
    <w:rsid w:val="005D67CF"/>
    <w:rsid w:val="005D6DE6"/>
    <w:rsid w:val="005D7A95"/>
    <w:rsid w:val="005E00F1"/>
    <w:rsid w:val="005E0CF3"/>
    <w:rsid w:val="005E0D67"/>
    <w:rsid w:val="005E264F"/>
    <w:rsid w:val="005E282D"/>
    <w:rsid w:val="005E3305"/>
    <w:rsid w:val="005E3B6F"/>
    <w:rsid w:val="005E3E43"/>
    <w:rsid w:val="005E3F5D"/>
    <w:rsid w:val="005E4258"/>
    <w:rsid w:val="005E5073"/>
    <w:rsid w:val="005E6473"/>
    <w:rsid w:val="005E651E"/>
    <w:rsid w:val="005E6A92"/>
    <w:rsid w:val="005E6C09"/>
    <w:rsid w:val="005F00FA"/>
    <w:rsid w:val="005F0836"/>
    <w:rsid w:val="005F110E"/>
    <w:rsid w:val="005F111E"/>
    <w:rsid w:val="005F1495"/>
    <w:rsid w:val="005F201D"/>
    <w:rsid w:val="005F4312"/>
    <w:rsid w:val="005F441E"/>
    <w:rsid w:val="005F4A5E"/>
    <w:rsid w:val="005F64C8"/>
    <w:rsid w:val="005F6C9F"/>
    <w:rsid w:val="005F6F32"/>
    <w:rsid w:val="005F7D15"/>
    <w:rsid w:val="005F7F57"/>
    <w:rsid w:val="0060093B"/>
    <w:rsid w:val="00600DBA"/>
    <w:rsid w:val="0060104C"/>
    <w:rsid w:val="006023DB"/>
    <w:rsid w:val="00603080"/>
    <w:rsid w:val="00603C95"/>
    <w:rsid w:val="00604740"/>
    <w:rsid w:val="00604F64"/>
    <w:rsid w:val="00605171"/>
    <w:rsid w:val="006056D3"/>
    <w:rsid w:val="00606A2F"/>
    <w:rsid w:val="00606CBA"/>
    <w:rsid w:val="00611119"/>
    <w:rsid w:val="00611E9D"/>
    <w:rsid w:val="006130E9"/>
    <w:rsid w:val="0061380C"/>
    <w:rsid w:val="00613F0B"/>
    <w:rsid w:val="00614920"/>
    <w:rsid w:val="00615112"/>
    <w:rsid w:val="006159D9"/>
    <w:rsid w:val="0061698D"/>
    <w:rsid w:val="00616F3B"/>
    <w:rsid w:val="00616FF1"/>
    <w:rsid w:val="006174B8"/>
    <w:rsid w:val="006210FF"/>
    <w:rsid w:val="00621D6E"/>
    <w:rsid w:val="00622157"/>
    <w:rsid w:val="006231BA"/>
    <w:rsid w:val="00626785"/>
    <w:rsid w:val="00627229"/>
    <w:rsid w:val="00627379"/>
    <w:rsid w:val="00627B0E"/>
    <w:rsid w:val="00627C72"/>
    <w:rsid w:val="00627FDE"/>
    <w:rsid w:val="0063362C"/>
    <w:rsid w:val="006341A5"/>
    <w:rsid w:val="00634B24"/>
    <w:rsid w:val="00634F60"/>
    <w:rsid w:val="0063548D"/>
    <w:rsid w:val="00635DFA"/>
    <w:rsid w:val="006370DC"/>
    <w:rsid w:val="00637710"/>
    <w:rsid w:val="00640631"/>
    <w:rsid w:val="0064115E"/>
    <w:rsid w:val="00641B20"/>
    <w:rsid w:val="00643A27"/>
    <w:rsid w:val="0064448E"/>
    <w:rsid w:val="00645D48"/>
    <w:rsid w:val="00645F17"/>
    <w:rsid w:val="00646341"/>
    <w:rsid w:val="00646B00"/>
    <w:rsid w:val="00646BF3"/>
    <w:rsid w:val="00646EBF"/>
    <w:rsid w:val="00646F44"/>
    <w:rsid w:val="00647009"/>
    <w:rsid w:val="0064781A"/>
    <w:rsid w:val="00647B3D"/>
    <w:rsid w:val="00650091"/>
    <w:rsid w:val="006505DF"/>
    <w:rsid w:val="00651850"/>
    <w:rsid w:val="0065191E"/>
    <w:rsid w:val="00651E98"/>
    <w:rsid w:val="00652038"/>
    <w:rsid w:val="00652DE2"/>
    <w:rsid w:val="006541B1"/>
    <w:rsid w:val="00654933"/>
    <w:rsid w:val="00655144"/>
    <w:rsid w:val="00655A6A"/>
    <w:rsid w:val="006569D2"/>
    <w:rsid w:val="00656A12"/>
    <w:rsid w:val="00656D2A"/>
    <w:rsid w:val="006570C4"/>
    <w:rsid w:val="00657330"/>
    <w:rsid w:val="00657740"/>
    <w:rsid w:val="00657F78"/>
    <w:rsid w:val="00657FA8"/>
    <w:rsid w:val="00660469"/>
    <w:rsid w:val="00660A8F"/>
    <w:rsid w:val="00661661"/>
    <w:rsid w:val="00662621"/>
    <w:rsid w:val="0066326A"/>
    <w:rsid w:val="00663910"/>
    <w:rsid w:val="00663C77"/>
    <w:rsid w:val="00664E69"/>
    <w:rsid w:val="00664FB4"/>
    <w:rsid w:val="00665829"/>
    <w:rsid w:val="00665F06"/>
    <w:rsid w:val="00665F4F"/>
    <w:rsid w:val="00666027"/>
    <w:rsid w:val="006661B7"/>
    <w:rsid w:val="006665EB"/>
    <w:rsid w:val="00666CA1"/>
    <w:rsid w:val="0066719F"/>
    <w:rsid w:val="006674EA"/>
    <w:rsid w:val="00667C46"/>
    <w:rsid w:val="00670C1A"/>
    <w:rsid w:val="006712DC"/>
    <w:rsid w:val="006718ED"/>
    <w:rsid w:val="00671952"/>
    <w:rsid w:val="0067273E"/>
    <w:rsid w:val="006730B8"/>
    <w:rsid w:val="006739F1"/>
    <w:rsid w:val="006748C2"/>
    <w:rsid w:val="00674D5C"/>
    <w:rsid w:val="00674EF0"/>
    <w:rsid w:val="00675908"/>
    <w:rsid w:val="00675978"/>
    <w:rsid w:val="00676F3F"/>
    <w:rsid w:val="006770C8"/>
    <w:rsid w:val="00677C65"/>
    <w:rsid w:val="00680D33"/>
    <w:rsid w:val="00681374"/>
    <w:rsid w:val="00681688"/>
    <w:rsid w:val="00681C27"/>
    <w:rsid w:val="00681E76"/>
    <w:rsid w:val="0068320A"/>
    <w:rsid w:val="0068356F"/>
    <w:rsid w:val="006857A5"/>
    <w:rsid w:val="00685951"/>
    <w:rsid w:val="00685E13"/>
    <w:rsid w:val="00687BEC"/>
    <w:rsid w:val="00690A36"/>
    <w:rsid w:val="00691131"/>
    <w:rsid w:val="00691923"/>
    <w:rsid w:val="006939E2"/>
    <w:rsid w:val="0069421B"/>
    <w:rsid w:val="00694697"/>
    <w:rsid w:val="00694925"/>
    <w:rsid w:val="00694FE8"/>
    <w:rsid w:val="00695073"/>
    <w:rsid w:val="00695EDD"/>
    <w:rsid w:val="006968C9"/>
    <w:rsid w:val="006A033E"/>
    <w:rsid w:val="006A0E76"/>
    <w:rsid w:val="006A17B6"/>
    <w:rsid w:val="006A215C"/>
    <w:rsid w:val="006A236E"/>
    <w:rsid w:val="006A23B3"/>
    <w:rsid w:val="006A296B"/>
    <w:rsid w:val="006A2BF0"/>
    <w:rsid w:val="006A3388"/>
    <w:rsid w:val="006A417F"/>
    <w:rsid w:val="006A4436"/>
    <w:rsid w:val="006A4C04"/>
    <w:rsid w:val="006A5280"/>
    <w:rsid w:val="006A60B2"/>
    <w:rsid w:val="006A7193"/>
    <w:rsid w:val="006A7FB9"/>
    <w:rsid w:val="006B0847"/>
    <w:rsid w:val="006B47FE"/>
    <w:rsid w:val="006B49B0"/>
    <w:rsid w:val="006B5219"/>
    <w:rsid w:val="006B608F"/>
    <w:rsid w:val="006B706E"/>
    <w:rsid w:val="006B765A"/>
    <w:rsid w:val="006B7C4F"/>
    <w:rsid w:val="006C0859"/>
    <w:rsid w:val="006C0E43"/>
    <w:rsid w:val="006C2E4C"/>
    <w:rsid w:val="006C3654"/>
    <w:rsid w:val="006C36B4"/>
    <w:rsid w:val="006C3CE1"/>
    <w:rsid w:val="006C3E93"/>
    <w:rsid w:val="006C4AB9"/>
    <w:rsid w:val="006C5ADA"/>
    <w:rsid w:val="006C5AF4"/>
    <w:rsid w:val="006C5DD1"/>
    <w:rsid w:val="006C64B7"/>
    <w:rsid w:val="006C66E0"/>
    <w:rsid w:val="006C7114"/>
    <w:rsid w:val="006C7E3E"/>
    <w:rsid w:val="006D0F6B"/>
    <w:rsid w:val="006D1C72"/>
    <w:rsid w:val="006D220C"/>
    <w:rsid w:val="006D4709"/>
    <w:rsid w:val="006D472D"/>
    <w:rsid w:val="006D4D00"/>
    <w:rsid w:val="006D4F36"/>
    <w:rsid w:val="006D50C6"/>
    <w:rsid w:val="006D569A"/>
    <w:rsid w:val="006D5E7D"/>
    <w:rsid w:val="006D6AF3"/>
    <w:rsid w:val="006D7597"/>
    <w:rsid w:val="006E11F5"/>
    <w:rsid w:val="006E1676"/>
    <w:rsid w:val="006E16A4"/>
    <w:rsid w:val="006E1B46"/>
    <w:rsid w:val="006E3F33"/>
    <w:rsid w:val="006E52B0"/>
    <w:rsid w:val="006E5553"/>
    <w:rsid w:val="006E5803"/>
    <w:rsid w:val="006E5B19"/>
    <w:rsid w:val="006E6F7A"/>
    <w:rsid w:val="006E748D"/>
    <w:rsid w:val="006E7CC7"/>
    <w:rsid w:val="006F0363"/>
    <w:rsid w:val="006F04BB"/>
    <w:rsid w:val="006F074D"/>
    <w:rsid w:val="006F240F"/>
    <w:rsid w:val="006F30A7"/>
    <w:rsid w:val="006F31C8"/>
    <w:rsid w:val="006F33B8"/>
    <w:rsid w:val="006F42CF"/>
    <w:rsid w:val="006F431C"/>
    <w:rsid w:val="006F55FB"/>
    <w:rsid w:val="006F5E3A"/>
    <w:rsid w:val="006F6323"/>
    <w:rsid w:val="006F6971"/>
    <w:rsid w:val="006F6B74"/>
    <w:rsid w:val="006F6E16"/>
    <w:rsid w:val="006F7139"/>
    <w:rsid w:val="006F75DD"/>
    <w:rsid w:val="006F7ADF"/>
    <w:rsid w:val="006F7DB3"/>
    <w:rsid w:val="00701970"/>
    <w:rsid w:val="00701C5E"/>
    <w:rsid w:val="00701DFE"/>
    <w:rsid w:val="007022C3"/>
    <w:rsid w:val="00703628"/>
    <w:rsid w:val="0070453C"/>
    <w:rsid w:val="00704691"/>
    <w:rsid w:val="00704A71"/>
    <w:rsid w:val="00705B50"/>
    <w:rsid w:val="00705D42"/>
    <w:rsid w:val="00706027"/>
    <w:rsid w:val="00707841"/>
    <w:rsid w:val="0071133F"/>
    <w:rsid w:val="00711456"/>
    <w:rsid w:val="007116D7"/>
    <w:rsid w:val="007119FA"/>
    <w:rsid w:val="00712D27"/>
    <w:rsid w:val="0071310C"/>
    <w:rsid w:val="0071337A"/>
    <w:rsid w:val="007137A9"/>
    <w:rsid w:val="00713A2C"/>
    <w:rsid w:val="007141B9"/>
    <w:rsid w:val="007159A6"/>
    <w:rsid w:val="00715CBD"/>
    <w:rsid w:val="007170C3"/>
    <w:rsid w:val="00717250"/>
    <w:rsid w:val="007173FD"/>
    <w:rsid w:val="0071744E"/>
    <w:rsid w:val="007175BE"/>
    <w:rsid w:val="007203B2"/>
    <w:rsid w:val="00721327"/>
    <w:rsid w:val="007228A9"/>
    <w:rsid w:val="00722D84"/>
    <w:rsid w:val="00724157"/>
    <w:rsid w:val="007241EC"/>
    <w:rsid w:val="00724528"/>
    <w:rsid w:val="0072489C"/>
    <w:rsid w:val="00725352"/>
    <w:rsid w:val="007259EA"/>
    <w:rsid w:val="00725FC8"/>
    <w:rsid w:val="00727738"/>
    <w:rsid w:val="00727B76"/>
    <w:rsid w:val="00730008"/>
    <w:rsid w:val="00731526"/>
    <w:rsid w:val="0073184F"/>
    <w:rsid w:val="00731A94"/>
    <w:rsid w:val="00732D71"/>
    <w:rsid w:val="007333D6"/>
    <w:rsid w:val="00733E70"/>
    <w:rsid w:val="00734282"/>
    <w:rsid w:val="00734550"/>
    <w:rsid w:val="00735F9C"/>
    <w:rsid w:val="007364D3"/>
    <w:rsid w:val="007368CE"/>
    <w:rsid w:val="00741570"/>
    <w:rsid w:val="00741AA2"/>
    <w:rsid w:val="00741F49"/>
    <w:rsid w:val="00742969"/>
    <w:rsid w:val="007431CC"/>
    <w:rsid w:val="007442E4"/>
    <w:rsid w:val="00744641"/>
    <w:rsid w:val="00744D6D"/>
    <w:rsid w:val="00744E9F"/>
    <w:rsid w:val="00744FE3"/>
    <w:rsid w:val="007454E5"/>
    <w:rsid w:val="007457B9"/>
    <w:rsid w:val="00746B22"/>
    <w:rsid w:val="00746EA1"/>
    <w:rsid w:val="007471B8"/>
    <w:rsid w:val="00750949"/>
    <w:rsid w:val="00751CAC"/>
    <w:rsid w:val="00751F46"/>
    <w:rsid w:val="00754045"/>
    <w:rsid w:val="0075404C"/>
    <w:rsid w:val="007559AE"/>
    <w:rsid w:val="00755AF4"/>
    <w:rsid w:val="00756524"/>
    <w:rsid w:val="00756B67"/>
    <w:rsid w:val="00756C0D"/>
    <w:rsid w:val="007571AF"/>
    <w:rsid w:val="00757990"/>
    <w:rsid w:val="00757E74"/>
    <w:rsid w:val="007608B8"/>
    <w:rsid w:val="007609BD"/>
    <w:rsid w:val="0076132D"/>
    <w:rsid w:val="007613CE"/>
    <w:rsid w:val="00762021"/>
    <w:rsid w:val="007626B7"/>
    <w:rsid w:val="00762968"/>
    <w:rsid w:val="0076304A"/>
    <w:rsid w:val="00763BDC"/>
    <w:rsid w:val="00764040"/>
    <w:rsid w:val="00764220"/>
    <w:rsid w:val="0076450E"/>
    <w:rsid w:val="007658B2"/>
    <w:rsid w:val="00767279"/>
    <w:rsid w:val="00767DE9"/>
    <w:rsid w:val="00770E48"/>
    <w:rsid w:val="0077100A"/>
    <w:rsid w:val="00772A14"/>
    <w:rsid w:val="007742D1"/>
    <w:rsid w:val="007744F6"/>
    <w:rsid w:val="00774DEC"/>
    <w:rsid w:val="00774FC6"/>
    <w:rsid w:val="00775673"/>
    <w:rsid w:val="00775C48"/>
    <w:rsid w:val="00775CD5"/>
    <w:rsid w:val="007765FD"/>
    <w:rsid w:val="00776B17"/>
    <w:rsid w:val="00776C35"/>
    <w:rsid w:val="00776D67"/>
    <w:rsid w:val="00776F2E"/>
    <w:rsid w:val="00777029"/>
    <w:rsid w:val="00780B54"/>
    <w:rsid w:val="00781297"/>
    <w:rsid w:val="00781568"/>
    <w:rsid w:val="00781A8A"/>
    <w:rsid w:val="00781BEE"/>
    <w:rsid w:val="00781EAB"/>
    <w:rsid w:val="0078318B"/>
    <w:rsid w:val="00783D5E"/>
    <w:rsid w:val="0078449C"/>
    <w:rsid w:val="00784E50"/>
    <w:rsid w:val="007850B3"/>
    <w:rsid w:val="007854E9"/>
    <w:rsid w:val="00785795"/>
    <w:rsid w:val="007858E1"/>
    <w:rsid w:val="00785C64"/>
    <w:rsid w:val="00786728"/>
    <w:rsid w:val="007867BE"/>
    <w:rsid w:val="00786D53"/>
    <w:rsid w:val="00790177"/>
    <w:rsid w:val="0079091A"/>
    <w:rsid w:val="007920ED"/>
    <w:rsid w:val="0079316A"/>
    <w:rsid w:val="007955BC"/>
    <w:rsid w:val="00795BC2"/>
    <w:rsid w:val="007962F6"/>
    <w:rsid w:val="007965DD"/>
    <w:rsid w:val="007968DB"/>
    <w:rsid w:val="00796C7C"/>
    <w:rsid w:val="00796EED"/>
    <w:rsid w:val="0079704B"/>
    <w:rsid w:val="007972E3"/>
    <w:rsid w:val="007A1601"/>
    <w:rsid w:val="007A192D"/>
    <w:rsid w:val="007A1A24"/>
    <w:rsid w:val="007A1B19"/>
    <w:rsid w:val="007A1C7B"/>
    <w:rsid w:val="007A3BEE"/>
    <w:rsid w:val="007A417A"/>
    <w:rsid w:val="007A4259"/>
    <w:rsid w:val="007A45B4"/>
    <w:rsid w:val="007A5324"/>
    <w:rsid w:val="007A5353"/>
    <w:rsid w:val="007A53C6"/>
    <w:rsid w:val="007A66C2"/>
    <w:rsid w:val="007A70CD"/>
    <w:rsid w:val="007A778B"/>
    <w:rsid w:val="007A7877"/>
    <w:rsid w:val="007B076D"/>
    <w:rsid w:val="007B12E2"/>
    <w:rsid w:val="007B30F1"/>
    <w:rsid w:val="007B3773"/>
    <w:rsid w:val="007B3AD8"/>
    <w:rsid w:val="007B4ECC"/>
    <w:rsid w:val="007B551B"/>
    <w:rsid w:val="007B582E"/>
    <w:rsid w:val="007B58F4"/>
    <w:rsid w:val="007B5A5F"/>
    <w:rsid w:val="007B69CA"/>
    <w:rsid w:val="007B709C"/>
    <w:rsid w:val="007B7E86"/>
    <w:rsid w:val="007C001B"/>
    <w:rsid w:val="007C2F32"/>
    <w:rsid w:val="007C4D64"/>
    <w:rsid w:val="007C5053"/>
    <w:rsid w:val="007C52DB"/>
    <w:rsid w:val="007C54FF"/>
    <w:rsid w:val="007C5D9F"/>
    <w:rsid w:val="007C5EB3"/>
    <w:rsid w:val="007C6075"/>
    <w:rsid w:val="007C7A06"/>
    <w:rsid w:val="007C7C0E"/>
    <w:rsid w:val="007D032C"/>
    <w:rsid w:val="007D0E17"/>
    <w:rsid w:val="007D1E34"/>
    <w:rsid w:val="007D35B9"/>
    <w:rsid w:val="007D4D09"/>
    <w:rsid w:val="007D58F3"/>
    <w:rsid w:val="007D5D44"/>
    <w:rsid w:val="007D5E26"/>
    <w:rsid w:val="007D632E"/>
    <w:rsid w:val="007D68B0"/>
    <w:rsid w:val="007D7C07"/>
    <w:rsid w:val="007D7C80"/>
    <w:rsid w:val="007E0088"/>
    <w:rsid w:val="007E0DDE"/>
    <w:rsid w:val="007E114B"/>
    <w:rsid w:val="007E29B1"/>
    <w:rsid w:val="007E3B66"/>
    <w:rsid w:val="007E3B6A"/>
    <w:rsid w:val="007E43B1"/>
    <w:rsid w:val="007E696A"/>
    <w:rsid w:val="007E7553"/>
    <w:rsid w:val="007E7795"/>
    <w:rsid w:val="007F21E5"/>
    <w:rsid w:val="007F35EE"/>
    <w:rsid w:val="007F3620"/>
    <w:rsid w:val="007F3A32"/>
    <w:rsid w:val="007F400E"/>
    <w:rsid w:val="007F5084"/>
    <w:rsid w:val="007F5863"/>
    <w:rsid w:val="007F6DF3"/>
    <w:rsid w:val="007F75DF"/>
    <w:rsid w:val="00800A0B"/>
    <w:rsid w:val="00800CB1"/>
    <w:rsid w:val="00800FCC"/>
    <w:rsid w:val="00801315"/>
    <w:rsid w:val="00801983"/>
    <w:rsid w:val="00801DF7"/>
    <w:rsid w:val="00802358"/>
    <w:rsid w:val="00802E98"/>
    <w:rsid w:val="008031B7"/>
    <w:rsid w:val="008032CE"/>
    <w:rsid w:val="0080369D"/>
    <w:rsid w:val="00803812"/>
    <w:rsid w:val="008039FE"/>
    <w:rsid w:val="00803F79"/>
    <w:rsid w:val="00804264"/>
    <w:rsid w:val="0080482D"/>
    <w:rsid w:val="00804ECC"/>
    <w:rsid w:val="0080559C"/>
    <w:rsid w:val="008061A7"/>
    <w:rsid w:val="00806E72"/>
    <w:rsid w:val="00807696"/>
    <w:rsid w:val="008076C6"/>
    <w:rsid w:val="00811B56"/>
    <w:rsid w:val="00811EEA"/>
    <w:rsid w:val="00811EFF"/>
    <w:rsid w:val="00813AAE"/>
    <w:rsid w:val="00813CA1"/>
    <w:rsid w:val="008161D7"/>
    <w:rsid w:val="008169CB"/>
    <w:rsid w:val="00817E29"/>
    <w:rsid w:val="00817E34"/>
    <w:rsid w:val="00820CC5"/>
    <w:rsid w:val="00820CF4"/>
    <w:rsid w:val="0082118F"/>
    <w:rsid w:val="00821299"/>
    <w:rsid w:val="00821F80"/>
    <w:rsid w:val="00822D8D"/>
    <w:rsid w:val="008230C1"/>
    <w:rsid w:val="00823DD0"/>
    <w:rsid w:val="008242F6"/>
    <w:rsid w:val="008244C6"/>
    <w:rsid w:val="008244D6"/>
    <w:rsid w:val="008248B0"/>
    <w:rsid w:val="00825070"/>
    <w:rsid w:val="00825108"/>
    <w:rsid w:val="00825B7D"/>
    <w:rsid w:val="00826662"/>
    <w:rsid w:val="008279F6"/>
    <w:rsid w:val="00830629"/>
    <w:rsid w:val="00830B86"/>
    <w:rsid w:val="00830C57"/>
    <w:rsid w:val="008316FC"/>
    <w:rsid w:val="00831CFC"/>
    <w:rsid w:val="00834898"/>
    <w:rsid w:val="00835362"/>
    <w:rsid w:val="008354F8"/>
    <w:rsid w:val="0083673B"/>
    <w:rsid w:val="008368D6"/>
    <w:rsid w:val="00836B56"/>
    <w:rsid w:val="00840126"/>
    <w:rsid w:val="0084105E"/>
    <w:rsid w:val="00841796"/>
    <w:rsid w:val="00842A9F"/>
    <w:rsid w:val="00843066"/>
    <w:rsid w:val="00843A39"/>
    <w:rsid w:val="00843D4B"/>
    <w:rsid w:val="00845B41"/>
    <w:rsid w:val="00846A41"/>
    <w:rsid w:val="00850500"/>
    <w:rsid w:val="00850D54"/>
    <w:rsid w:val="00850EA5"/>
    <w:rsid w:val="00851230"/>
    <w:rsid w:val="008513AB"/>
    <w:rsid w:val="0085196D"/>
    <w:rsid w:val="0085286A"/>
    <w:rsid w:val="00852973"/>
    <w:rsid w:val="00853ED1"/>
    <w:rsid w:val="00853FCA"/>
    <w:rsid w:val="0085478F"/>
    <w:rsid w:val="00855513"/>
    <w:rsid w:val="0085572F"/>
    <w:rsid w:val="00855D34"/>
    <w:rsid w:val="008562A0"/>
    <w:rsid w:val="0085631C"/>
    <w:rsid w:val="008563B3"/>
    <w:rsid w:val="008566F8"/>
    <w:rsid w:val="00856E2F"/>
    <w:rsid w:val="008572D4"/>
    <w:rsid w:val="008572E3"/>
    <w:rsid w:val="00857889"/>
    <w:rsid w:val="0086070B"/>
    <w:rsid w:val="00860790"/>
    <w:rsid w:val="00860BDA"/>
    <w:rsid w:val="00861247"/>
    <w:rsid w:val="00861849"/>
    <w:rsid w:val="0086202E"/>
    <w:rsid w:val="0086288C"/>
    <w:rsid w:val="008633F6"/>
    <w:rsid w:val="00864825"/>
    <w:rsid w:val="00864C84"/>
    <w:rsid w:val="00865BD3"/>
    <w:rsid w:val="008666E9"/>
    <w:rsid w:val="00866B18"/>
    <w:rsid w:val="00866F91"/>
    <w:rsid w:val="00867210"/>
    <w:rsid w:val="008672D9"/>
    <w:rsid w:val="00871824"/>
    <w:rsid w:val="00872293"/>
    <w:rsid w:val="008722FA"/>
    <w:rsid w:val="008731CB"/>
    <w:rsid w:val="008736B3"/>
    <w:rsid w:val="008736BD"/>
    <w:rsid w:val="00875B64"/>
    <w:rsid w:val="0087623D"/>
    <w:rsid w:val="00876844"/>
    <w:rsid w:val="00880AD6"/>
    <w:rsid w:val="008810F6"/>
    <w:rsid w:val="008812CC"/>
    <w:rsid w:val="00881910"/>
    <w:rsid w:val="00881F4B"/>
    <w:rsid w:val="0088227B"/>
    <w:rsid w:val="008827F9"/>
    <w:rsid w:val="0088350A"/>
    <w:rsid w:val="00883B33"/>
    <w:rsid w:val="008845DC"/>
    <w:rsid w:val="00885AB4"/>
    <w:rsid w:val="00885ADA"/>
    <w:rsid w:val="00885CEE"/>
    <w:rsid w:val="00885DFB"/>
    <w:rsid w:val="00887302"/>
    <w:rsid w:val="00890707"/>
    <w:rsid w:val="0089098F"/>
    <w:rsid w:val="00890D15"/>
    <w:rsid w:val="008929F9"/>
    <w:rsid w:val="00893023"/>
    <w:rsid w:val="008935F2"/>
    <w:rsid w:val="00893D9B"/>
    <w:rsid w:val="008940F0"/>
    <w:rsid w:val="008946C6"/>
    <w:rsid w:val="00894B1E"/>
    <w:rsid w:val="00894CA5"/>
    <w:rsid w:val="00895B49"/>
    <w:rsid w:val="00896520"/>
    <w:rsid w:val="008A0120"/>
    <w:rsid w:val="008A04EE"/>
    <w:rsid w:val="008A0797"/>
    <w:rsid w:val="008A127B"/>
    <w:rsid w:val="008A187D"/>
    <w:rsid w:val="008A18B7"/>
    <w:rsid w:val="008A22C5"/>
    <w:rsid w:val="008A2773"/>
    <w:rsid w:val="008A2D81"/>
    <w:rsid w:val="008A3589"/>
    <w:rsid w:val="008A35E8"/>
    <w:rsid w:val="008A3A1F"/>
    <w:rsid w:val="008A43B3"/>
    <w:rsid w:val="008A4F47"/>
    <w:rsid w:val="008A5924"/>
    <w:rsid w:val="008A5F5F"/>
    <w:rsid w:val="008A6237"/>
    <w:rsid w:val="008A62FB"/>
    <w:rsid w:val="008A6355"/>
    <w:rsid w:val="008A68B7"/>
    <w:rsid w:val="008A6E9B"/>
    <w:rsid w:val="008A75A0"/>
    <w:rsid w:val="008B01E4"/>
    <w:rsid w:val="008B0589"/>
    <w:rsid w:val="008B0BCC"/>
    <w:rsid w:val="008B1028"/>
    <w:rsid w:val="008B16C4"/>
    <w:rsid w:val="008B1E41"/>
    <w:rsid w:val="008B2EAF"/>
    <w:rsid w:val="008B3267"/>
    <w:rsid w:val="008B375F"/>
    <w:rsid w:val="008B3C53"/>
    <w:rsid w:val="008B4DDD"/>
    <w:rsid w:val="008B5421"/>
    <w:rsid w:val="008B5B9B"/>
    <w:rsid w:val="008B5C25"/>
    <w:rsid w:val="008B6703"/>
    <w:rsid w:val="008B6704"/>
    <w:rsid w:val="008B67EE"/>
    <w:rsid w:val="008B6CE3"/>
    <w:rsid w:val="008B6ECE"/>
    <w:rsid w:val="008B71DB"/>
    <w:rsid w:val="008B72CB"/>
    <w:rsid w:val="008B756A"/>
    <w:rsid w:val="008B75A1"/>
    <w:rsid w:val="008B7AE5"/>
    <w:rsid w:val="008C016A"/>
    <w:rsid w:val="008C0D72"/>
    <w:rsid w:val="008C0DA5"/>
    <w:rsid w:val="008C104A"/>
    <w:rsid w:val="008C1110"/>
    <w:rsid w:val="008C154F"/>
    <w:rsid w:val="008C1E7D"/>
    <w:rsid w:val="008C1F37"/>
    <w:rsid w:val="008C2099"/>
    <w:rsid w:val="008C2580"/>
    <w:rsid w:val="008C2A59"/>
    <w:rsid w:val="008C2E48"/>
    <w:rsid w:val="008C2F44"/>
    <w:rsid w:val="008C386E"/>
    <w:rsid w:val="008C3B53"/>
    <w:rsid w:val="008C3EF1"/>
    <w:rsid w:val="008C4ABB"/>
    <w:rsid w:val="008C524F"/>
    <w:rsid w:val="008C5A89"/>
    <w:rsid w:val="008C713A"/>
    <w:rsid w:val="008C7D98"/>
    <w:rsid w:val="008C7E9F"/>
    <w:rsid w:val="008D078A"/>
    <w:rsid w:val="008D08A1"/>
    <w:rsid w:val="008D2104"/>
    <w:rsid w:val="008D3B89"/>
    <w:rsid w:val="008D3F59"/>
    <w:rsid w:val="008D4940"/>
    <w:rsid w:val="008D4F4E"/>
    <w:rsid w:val="008D5924"/>
    <w:rsid w:val="008D5B64"/>
    <w:rsid w:val="008D6041"/>
    <w:rsid w:val="008D69EB"/>
    <w:rsid w:val="008D730D"/>
    <w:rsid w:val="008E0766"/>
    <w:rsid w:val="008E0CB6"/>
    <w:rsid w:val="008E11F8"/>
    <w:rsid w:val="008E1E4F"/>
    <w:rsid w:val="008E1FDA"/>
    <w:rsid w:val="008E203F"/>
    <w:rsid w:val="008E32AB"/>
    <w:rsid w:val="008E3541"/>
    <w:rsid w:val="008E398E"/>
    <w:rsid w:val="008E402A"/>
    <w:rsid w:val="008E4192"/>
    <w:rsid w:val="008E4D29"/>
    <w:rsid w:val="008E4EA2"/>
    <w:rsid w:val="008E4F28"/>
    <w:rsid w:val="008E5976"/>
    <w:rsid w:val="008E5A23"/>
    <w:rsid w:val="008E6897"/>
    <w:rsid w:val="008E6CE3"/>
    <w:rsid w:val="008E7135"/>
    <w:rsid w:val="008F0469"/>
    <w:rsid w:val="008F0790"/>
    <w:rsid w:val="008F0CA8"/>
    <w:rsid w:val="008F1246"/>
    <w:rsid w:val="008F2FE4"/>
    <w:rsid w:val="008F438D"/>
    <w:rsid w:val="008F445A"/>
    <w:rsid w:val="008F46C6"/>
    <w:rsid w:val="008F475F"/>
    <w:rsid w:val="008F4828"/>
    <w:rsid w:val="008F511E"/>
    <w:rsid w:val="008F5457"/>
    <w:rsid w:val="008F5FAD"/>
    <w:rsid w:val="008F6169"/>
    <w:rsid w:val="008F6665"/>
    <w:rsid w:val="008F7B08"/>
    <w:rsid w:val="0090022B"/>
    <w:rsid w:val="00901183"/>
    <w:rsid w:val="00902767"/>
    <w:rsid w:val="00903214"/>
    <w:rsid w:val="009045A2"/>
    <w:rsid w:val="00904E8A"/>
    <w:rsid w:val="00904F77"/>
    <w:rsid w:val="009057D1"/>
    <w:rsid w:val="00905841"/>
    <w:rsid w:val="0090761C"/>
    <w:rsid w:val="00910496"/>
    <w:rsid w:val="00910D6F"/>
    <w:rsid w:val="00911EFD"/>
    <w:rsid w:val="0091391E"/>
    <w:rsid w:val="009143EA"/>
    <w:rsid w:val="009149E9"/>
    <w:rsid w:val="00916253"/>
    <w:rsid w:val="009165AA"/>
    <w:rsid w:val="00916676"/>
    <w:rsid w:val="009166A6"/>
    <w:rsid w:val="00916A2A"/>
    <w:rsid w:val="00917DBB"/>
    <w:rsid w:val="0092028C"/>
    <w:rsid w:val="00920A8A"/>
    <w:rsid w:val="00921072"/>
    <w:rsid w:val="009219D4"/>
    <w:rsid w:val="009222C9"/>
    <w:rsid w:val="00922497"/>
    <w:rsid w:val="00923217"/>
    <w:rsid w:val="00923224"/>
    <w:rsid w:val="00923B09"/>
    <w:rsid w:val="00923B56"/>
    <w:rsid w:val="00924AA4"/>
    <w:rsid w:val="00925027"/>
    <w:rsid w:val="0092573B"/>
    <w:rsid w:val="009258E7"/>
    <w:rsid w:val="00926907"/>
    <w:rsid w:val="00926E0D"/>
    <w:rsid w:val="009308F4"/>
    <w:rsid w:val="00930F9E"/>
    <w:rsid w:val="00931433"/>
    <w:rsid w:val="0093167A"/>
    <w:rsid w:val="00932CB7"/>
    <w:rsid w:val="00933680"/>
    <w:rsid w:val="00933721"/>
    <w:rsid w:val="00933B6B"/>
    <w:rsid w:val="00933D83"/>
    <w:rsid w:val="00934DA3"/>
    <w:rsid w:val="009352A4"/>
    <w:rsid w:val="009353DF"/>
    <w:rsid w:val="00935FF3"/>
    <w:rsid w:val="00936AB0"/>
    <w:rsid w:val="00936F9B"/>
    <w:rsid w:val="00937530"/>
    <w:rsid w:val="0093799C"/>
    <w:rsid w:val="00937D72"/>
    <w:rsid w:val="0094079D"/>
    <w:rsid w:val="00940C53"/>
    <w:rsid w:val="00941096"/>
    <w:rsid w:val="00941243"/>
    <w:rsid w:val="00941284"/>
    <w:rsid w:val="00941E6A"/>
    <w:rsid w:val="00942D99"/>
    <w:rsid w:val="00942E3F"/>
    <w:rsid w:val="009446F3"/>
    <w:rsid w:val="009449FB"/>
    <w:rsid w:val="0094553E"/>
    <w:rsid w:val="00945F3B"/>
    <w:rsid w:val="00946293"/>
    <w:rsid w:val="00950260"/>
    <w:rsid w:val="00950CE7"/>
    <w:rsid w:val="00951200"/>
    <w:rsid w:val="00951724"/>
    <w:rsid w:val="00951B86"/>
    <w:rsid w:val="00951F8C"/>
    <w:rsid w:val="009523C9"/>
    <w:rsid w:val="009524C4"/>
    <w:rsid w:val="009525D3"/>
    <w:rsid w:val="00954329"/>
    <w:rsid w:val="009547B2"/>
    <w:rsid w:val="009547EE"/>
    <w:rsid w:val="00954BFA"/>
    <w:rsid w:val="00956271"/>
    <w:rsid w:val="009568CC"/>
    <w:rsid w:val="00956CD4"/>
    <w:rsid w:val="0095720F"/>
    <w:rsid w:val="0095778D"/>
    <w:rsid w:val="00957A19"/>
    <w:rsid w:val="00957E26"/>
    <w:rsid w:val="00960B8E"/>
    <w:rsid w:val="00961CCA"/>
    <w:rsid w:val="0096268C"/>
    <w:rsid w:val="00963884"/>
    <w:rsid w:val="009639AC"/>
    <w:rsid w:val="00963B7F"/>
    <w:rsid w:val="00964CEB"/>
    <w:rsid w:val="00964E59"/>
    <w:rsid w:val="00965491"/>
    <w:rsid w:val="0096680B"/>
    <w:rsid w:val="00966D49"/>
    <w:rsid w:val="0096714A"/>
    <w:rsid w:val="00967870"/>
    <w:rsid w:val="009710AA"/>
    <w:rsid w:val="00971ED5"/>
    <w:rsid w:val="00973086"/>
    <w:rsid w:val="0097549C"/>
    <w:rsid w:val="00975696"/>
    <w:rsid w:val="00975E79"/>
    <w:rsid w:val="009802EE"/>
    <w:rsid w:val="00980699"/>
    <w:rsid w:val="00981107"/>
    <w:rsid w:val="0098158D"/>
    <w:rsid w:val="009822CE"/>
    <w:rsid w:val="00982484"/>
    <w:rsid w:val="00982C8E"/>
    <w:rsid w:val="009831CE"/>
    <w:rsid w:val="00983312"/>
    <w:rsid w:val="0098374F"/>
    <w:rsid w:val="00983C48"/>
    <w:rsid w:val="00984222"/>
    <w:rsid w:val="00985CDC"/>
    <w:rsid w:val="0098670E"/>
    <w:rsid w:val="009878AE"/>
    <w:rsid w:val="0099151E"/>
    <w:rsid w:val="00991944"/>
    <w:rsid w:val="009919FF"/>
    <w:rsid w:val="009927FD"/>
    <w:rsid w:val="00993ABB"/>
    <w:rsid w:val="00993EEF"/>
    <w:rsid w:val="00994639"/>
    <w:rsid w:val="00994E54"/>
    <w:rsid w:val="0099527D"/>
    <w:rsid w:val="0099698D"/>
    <w:rsid w:val="00996B41"/>
    <w:rsid w:val="00997145"/>
    <w:rsid w:val="0099788C"/>
    <w:rsid w:val="009A04D9"/>
    <w:rsid w:val="009A2680"/>
    <w:rsid w:val="009A2689"/>
    <w:rsid w:val="009A2D98"/>
    <w:rsid w:val="009A3230"/>
    <w:rsid w:val="009A327B"/>
    <w:rsid w:val="009A451C"/>
    <w:rsid w:val="009A6BAA"/>
    <w:rsid w:val="009A7D1B"/>
    <w:rsid w:val="009B17F3"/>
    <w:rsid w:val="009B1DE2"/>
    <w:rsid w:val="009B232B"/>
    <w:rsid w:val="009B2A9E"/>
    <w:rsid w:val="009B2DA4"/>
    <w:rsid w:val="009B3DD6"/>
    <w:rsid w:val="009B4302"/>
    <w:rsid w:val="009B4642"/>
    <w:rsid w:val="009B58E0"/>
    <w:rsid w:val="009B6862"/>
    <w:rsid w:val="009B7637"/>
    <w:rsid w:val="009C0585"/>
    <w:rsid w:val="009C0953"/>
    <w:rsid w:val="009C0A0E"/>
    <w:rsid w:val="009C0A52"/>
    <w:rsid w:val="009C0B59"/>
    <w:rsid w:val="009C0F9D"/>
    <w:rsid w:val="009C1628"/>
    <w:rsid w:val="009C1769"/>
    <w:rsid w:val="009C1BDA"/>
    <w:rsid w:val="009C2DB3"/>
    <w:rsid w:val="009C38B6"/>
    <w:rsid w:val="009C3AD1"/>
    <w:rsid w:val="009C5A1B"/>
    <w:rsid w:val="009C61EF"/>
    <w:rsid w:val="009C7140"/>
    <w:rsid w:val="009C720B"/>
    <w:rsid w:val="009C75A2"/>
    <w:rsid w:val="009C78EF"/>
    <w:rsid w:val="009D098A"/>
    <w:rsid w:val="009D11EE"/>
    <w:rsid w:val="009D1356"/>
    <w:rsid w:val="009D178B"/>
    <w:rsid w:val="009D189A"/>
    <w:rsid w:val="009D1EA4"/>
    <w:rsid w:val="009D2005"/>
    <w:rsid w:val="009D3E1E"/>
    <w:rsid w:val="009D4340"/>
    <w:rsid w:val="009D52AD"/>
    <w:rsid w:val="009D54C6"/>
    <w:rsid w:val="009D558D"/>
    <w:rsid w:val="009D59B6"/>
    <w:rsid w:val="009D6498"/>
    <w:rsid w:val="009D6868"/>
    <w:rsid w:val="009D7C1F"/>
    <w:rsid w:val="009E2836"/>
    <w:rsid w:val="009E3755"/>
    <w:rsid w:val="009E4645"/>
    <w:rsid w:val="009E53FB"/>
    <w:rsid w:val="009E76CA"/>
    <w:rsid w:val="009F1878"/>
    <w:rsid w:val="009F1941"/>
    <w:rsid w:val="009F1AC7"/>
    <w:rsid w:val="009F2718"/>
    <w:rsid w:val="009F2781"/>
    <w:rsid w:val="009F2A32"/>
    <w:rsid w:val="009F2B5E"/>
    <w:rsid w:val="009F33E4"/>
    <w:rsid w:val="009F3C37"/>
    <w:rsid w:val="009F5026"/>
    <w:rsid w:val="009F5384"/>
    <w:rsid w:val="009F57E1"/>
    <w:rsid w:val="009F5F83"/>
    <w:rsid w:val="009F6073"/>
    <w:rsid w:val="009F6297"/>
    <w:rsid w:val="00A006DC"/>
    <w:rsid w:val="00A00A8B"/>
    <w:rsid w:val="00A012D8"/>
    <w:rsid w:val="00A01D3A"/>
    <w:rsid w:val="00A02FB2"/>
    <w:rsid w:val="00A037FA"/>
    <w:rsid w:val="00A038E6"/>
    <w:rsid w:val="00A043A1"/>
    <w:rsid w:val="00A04939"/>
    <w:rsid w:val="00A049C7"/>
    <w:rsid w:val="00A06012"/>
    <w:rsid w:val="00A07F5A"/>
    <w:rsid w:val="00A1057E"/>
    <w:rsid w:val="00A10D4C"/>
    <w:rsid w:val="00A11FA7"/>
    <w:rsid w:val="00A12237"/>
    <w:rsid w:val="00A13CE7"/>
    <w:rsid w:val="00A1460E"/>
    <w:rsid w:val="00A14621"/>
    <w:rsid w:val="00A14AAB"/>
    <w:rsid w:val="00A14E9E"/>
    <w:rsid w:val="00A14EAD"/>
    <w:rsid w:val="00A1548E"/>
    <w:rsid w:val="00A167ED"/>
    <w:rsid w:val="00A16EA6"/>
    <w:rsid w:val="00A204AE"/>
    <w:rsid w:val="00A20B93"/>
    <w:rsid w:val="00A20C3F"/>
    <w:rsid w:val="00A20CB7"/>
    <w:rsid w:val="00A21CCE"/>
    <w:rsid w:val="00A2222F"/>
    <w:rsid w:val="00A228D1"/>
    <w:rsid w:val="00A22D9B"/>
    <w:rsid w:val="00A22DDA"/>
    <w:rsid w:val="00A2304C"/>
    <w:rsid w:val="00A23853"/>
    <w:rsid w:val="00A23C4D"/>
    <w:rsid w:val="00A23DA7"/>
    <w:rsid w:val="00A25933"/>
    <w:rsid w:val="00A25AF4"/>
    <w:rsid w:val="00A26C85"/>
    <w:rsid w:val="00A26DD9"/>
    <w:rsid w:val="00A27345"/>
    <w:rsid w:val="00A2759A"/>
    <w:rsid w:val="00A27651"/>
    <w:rsid w:val="00A27E74"/>
    <w:rsid w:val="00A31BD4"/>
    <w:rsid w:val="00A31BEA"/>
    <w:rsid w:val="00A334AA"/>
    <w:rsid w:val="00A33D91"/>
    <w:rsid w:val="00A3573E"/>
    <w:rsid w:val="00A35D88"/>
    <w:rsid w:val="00A36C31"/>
    <w:rsid w:val="00A37156"/>
    <w:rsid w:val="00A371AD"/>
    <w:rsid w:val="00A37281"/>
    <w:rsid w:val="00A372F3"/>
    <w:rsid w:val="00A374A1"/>
    <w:rsid w:val="00A37E33"/>
    <w:rsid w:val="00A37F3F"/>
    <w:rsid w:val="00A40A95"/>
    <w:rsid w:val="00A40C59"/>
    <w:rsid w:val="00A40EDD"/>
    <w:rsid w:val="00A413A8"/>
    <w:rsid w:val="00A41F94"/>
    <w:rsid w:val="00A42563"/>
    <w:rsid w:val="00A42921"/>
    <w:rsid w:val="00A435DB"/>
    <w:rsid w:val="00A438AD"/>
    <w:rsid w:val="00A43D08"/>
    <w:rsid w:val="00A44322"/>
    <w:rsid w:val="00A45520"/>
    <w:rsid w:val="00A455D9"/>
    <w:rsid w:val="00A45DB0"/>
    <w:rsid w:val="00A461C0"/>
    <w:rsid w:val="00A465E7"/>
    <w:rsid w:val="00A46AAA"/>
    <w:rsid w:val="00A470BB"/>
    <w:rsid w:val="00A472E1"/>
    <w:rsid w:val="00A47A75"/>
    <w:rsid w:val="00A47FF0"/>
    <w:rsid w:val="00A50692"/>
    <w:rsid w:val="00A5080C"/>
    <w:rsid w:val="00A509AE"/>
    <w:rsid w:val="00A50BB6"/>
    <w:rsid w:val="00A511D2"/>
    <w:rsid w:val="00A53031"/>
    <w:rsid w:val="00A53204"/>
    <w:rsid w:val="00A533A8"/>
    <w:rsid w:val="00A54356"/>
    <w:rsid w:val="00A5564A"/>
    <w:rsid w:val="00A55A57"/>
    <w:rsid w:val="00A5658C"/>
    <w:rsid w:val="00A57764"/>
    <w:rsid w:val="00A57D63"/>
    <w:rsid w:val="00A57ED5"/>
    <w:rsid w:val="00A57F6C"/>
    <w:rsid w:val="00A60216"/>
    <w:rsid w:val="00A604AF"/>
    <w:rsid w:val="00A607D0"/>
    <w:rsid w:val="00A60B17"/>
    <w:rsid w:val="00A60CA9"/>
    <w:rsid w:val="00A61050"/>
    <w:rsid w:val="00A62133"/>
    <w:rsid w:val="00A62E8B"/>
    <w:rsid w:val="00A64061"/>
    <w:rsid w:val="00A64416"/>
    <w:rsid w:val="00A652DF"/>
    <w:rsid w:val="00A663CC"/>
    <w:rsid w:val="00A67FF9"/>
    <w:rsid w:val="00A7100E"/>
    <w:rsid w:val="00A71183"/>
    <w:rsid w:val="00A71225"/>
    <w:rsid w:val="00A71609"/>
    <w:rsid w:val="00A71FCB"/>
    <w:rsid w:val="00A72641"/>
    <w:rsid w:val="00A747E6"/>
    <w:rsid w:val="00A7503E"/>
    <w:rsid w:val="00A75176"/>
    <w:rsid w:val="00A755C0"/>
    <w:rsid w:val="00A77016"/>
    <w:rsid w:val="00A7701F"/>
    <w:rsid w:val="00A77326"/>
    <w:rsid w:val="00A7763F"/>
    <w:rsid w:val="00A801B1"/>
    <w:rsid w:val="00A80AD2"/>
    <w:rsid w:val="00A80D98"/>
    <w:rsid w:val="00A81B99"/>
    <w:rsid w:val="00A82E1C"/>
    <w:rsid w:val="00A83394"/>
    <w:rsid w:val="00A85518"/>
    <w:rsid w:val="00A85A0E"/>
    <w:rsid w:val="00A85F75"/>
    <w:rsid w:val="00A85FAC"/>
    <w:rsid w:val="00A86296"/>
    <w:rsid w:val="00A867F2"/>
    <w:rsid w:val="00A872FA"/>
    <w:rsid w:val="00A8774C"/>
    <w:rsid w:val="00A90532"/>
    <w:rsid w:val="00A90B00"/>
    <w:rsid w:val="00A91D31"/>
    <w:rsid w:val="00A92034"/>
    <w:rsid w:val="00A925AB"/>
    <w:rsid w:val="00A93B8E"/>
    <w:rsid w:val="00A94059"/>
    <w:rsid w:val="00A94FA8"/>
    <w:rsid w:val="00A9519B"/>
    <w:rsid w:val="00A95BCC"/>
    <w:rsid w:val="00A96405"/>
    <w:rsid w:val="00A968A2"/>
    <w:rsid w:val="00A9744C"/>
    <w:rsid w:val="00A97667"/>
    <w:rsid w:val="00A9788A"/>
    <w:rsid w:val="00A97B74"/>
    <w:rsid w:val="00A97CE7"/>
    <w:rsid w:val="00AA07AC"/>
    <w:rsid w:val="00AA0C18"/>
    <w:rsid w:val="00AA199C"/>
    <w:rsid w:val="00AA20B0"/>
    <w:rsid w:val="00AA258C"/>
    <w:rsid w:val="00AA2A12"/>
    <w:rsid w:val="00AA41D9"/>
    <w:rsid w:val="00AA458F"/>
    <w:rsid w:val="00AA4717"/>
    <w:rsid w:val="00AA4F42"/>
    <w:rsid w:val="00AA5A45"/>
    <w:rsid w:val="00AB017D"/>
    <w:rsid w:val="00AB021C"/>
    <w:rsid w:val="00AB12EF"/>
    <w:rsid w:val="00AB2703"/>
    <w:rsid w:val="00AB316E"/>
    <w:rsid w:val="00AB3B74"/>
    <w:rsid w:val="00AB43D6"/>
    <w:rsid w:val="00AB440A"/>
    <w:rsid w:val="00AB4F13"/>
    <w:rsid w:val="00AB559C"/>
    <w:rsid w:val="00AB6A0C"/>
    <w:rsid w:val="00AB6F74"/>
    <w:rsid w:val="00AB7916"/>
    <w:rsid w:val="00AC0380"/>
    <w:rsid w:val="00AC07B2"/>
    <w:rsid w:val="00AC16D9"/>
    <w:rsid w:val="00AC2490"/>
    <w:rsid w:val="00AC2756"/>
    <w:rsid w:val="00AC27ED"/>
    <w:rsid w:val="00AC4EAD"/>
    <w:rsid w:val="00AC502F"/>
    <w:rsid w:val="00AC577E"/>
    <w:rsid w:val="00AC5E2A"/>
    <w:rsid w:val="00AC7144"/>
    <w:rsid w:val="00AD0BB0"/>
    <w:rsid w:val="00AD202D"/>
    <w:rsid w:val="00AD329A"/>
    <w:rsid w:val="00AD344B"/>
    <w:rsid w:val="00AD374C"/>
    <w:rsid w:val="00AD572E"/>
    <w:rsid w:val="00AD6490"/>
    <w:rsid w:val="00AD6D77"/>
    <w:rsid w:val="00AD6F79"/>
    <w:rsid w:val="00AD70A1"/>
    <w:rsid w:val="00AD74F8"/>
    <w:rsid w:val="00AE05DE"/>
    <w:rsid w:val="00AE1434"/>
    <w:rsid w:val="00AE1522"/>
    <w:rsid w:val="00AE1B2D"/>
    <w:rsid w:val="00AE1FCB"/>
    <w:rsid w:val="00AE2481"/>
    <w:rsid w:val="00AE2903"/>
    <w:rsid w:val="00AE2A9E"/>
    <w:rsid w:val="00AE32CF"/>
    <w:rsid w:val="00AE4617"/>
    <w:rsid w:val="00AE4AF6"/>
    <w:rsid w:val="00AE5036"/>
    <w:rsid w:val="00AE531A"/>
    <w:rsid w:val="00AE5CD1"/>
    <w:rsid w:val="00AE742D"/>
    <w:rsid w:val="00AE764F"/>
    <w:rsid w:val="00AE7935"/>
    <w:rsid w:val="00AF072F"/>
    <w:rsid w:val="00AF12EA"/>
    <w:rsid w:val="00AF1763"/>
    <w:rsid w:val="00AF214D"/>
    <w:rsid w:val="00AF26D5"/>
    <w:rsid w:val="00AF291D"/>
    <w:rsid w:val="00AF2968"/>
    <w:rsid w:val="00AF2CB0"/>
    <w:rsid w:val="00AF303D"/>
    <w:rsid w:val="00AF35B0"/>
    <w:rsid w:val="00AF4709"/>
    <w:rsid w:val="00AF4970"/>
    <w:rsid w:val="00AF4E29"/>
    <w:rsid w:val="00AF52E9"/>
    <w:rsid w:val="00AF77E2"/>
    <w:rsid w:val="00AF7875"/>
    <w:rsid w:val="00B01D93"/>
    <w:rsid w:val="00B036C6"/>
    <w:rsid w:val="00B04B54"/>
    <w:rsid w:val="00B057DB"/>
    <w:rsid w:val="00B05A2D"/>
    <w:rsid w:val="00B05DAF"/>
    <w:rsid w:val="00B065D3"/>
    <w:rsid w:val="00B06A64"/>
    <w:rsid w:val="00B06FDB"/>
    <w:rsid w:val="00B07D4D"/>
    <w:rsid w:val="00B10E10"/>
    <w:rsid w:val="00B12AF9"/>
    <w:rsid w:val="00B13A49"/>
    <w:rsid w:val="00B144FC"/>
    <w:rsid w:val="00B14B5F"/>
    <w:rsid w:val="00B15290"/>
    <w:rsid w:val="00B178AA"/>
    <w:rsid w:val="00B17BBC"/>
    <w:rsid w:val="00B207FF"/>
    <w:rsid w:val="00B20ECB"/>
    <w:rsid w:val="00B24063"/>
    <w:rsid w:val="00B24708"/>
    <w:rsid w:val="00B250D1"/>
    <w:rsid w:val="00B253B4"/>
    <w:rsid w:val="00B269EA"/>
    <w:rsid w:val="00B26C12"/>
    <w:rsid w:val="00B300E6"/>
    <w:rsid w:val="00B303CF"/>
    <w:rsid w:val="00B304BD"/>
    <w:rsid w:val="00B30AB2"/>
    <w:rsid w:val="00B31519"/>
    <w:rsid w:val="00B3166E"/>
    <w:rsid w:val="00B33171"/>
    <w:rsid w:val="00B337B7"/>
    <w:rsid w:val="00B33E65"/>
    <w:rsid w:val="00B3434B"/>
    <w:rsid w:val="00B3504C"/>
    <w:rsid w:val="00B35573"/>
    <w:rsid w:val="00B3569E"/>
    <w:rsid w:val="00B358BD"/>
    <w:rsid w:val="00B35936"/>
    <w:rsid w:val="00B35C97"/>
    <w:rsid w:val="00B36A8E"/>
    <w:rsid w:val="00B36EED"/>
    <w:rsid w:val="00B36F03"/>
    <w:rsid w:val="00B37093"/>
    <w:rsid w:val="00B3757A"/>
    <w:rsid w:val="00B37751"/>
    <w:rsid w:val="00B377F3"/>
    <w:rsid w:val="00B37C72"/>
    <w:rsid w:val="00B37F2B"/>
    <w:rsid w:val="00B40204"/>
    <w:rsid w:val="00B4024C"/>
    <w:rsid w:val="00B40DA8"/>
    <w:rsid w:val="00B41B71"/>
    <w:rsid w:val="00B42231"/>
    <w:rsid w:val="00B423D0"/>
    <w:rsid w:val="00B42C44"/>
    <w:rsid w:val="00B43101"/>
    <w:rsid w:val="00B4450F"/>
    <w:rsid w:val="00B4462C"/>
    <w:rsid w:val="00B4481E"/>
    <w:rsid w:val="00B44A9A"/>
    <w:rsid w:val="00B4513F"/>
    <w:rsid w:val="00B456AF"/>
    <w:rsid w:val="00B46321"/>
    <w:rsid w:val="00B46642"/>
    <w:rsid w:val="00B479F1"/>
    <w:rsid w:val="00B50571"/>
    <w:rsid w:val="00B515A0"/>
    <w:rsid w:val="00B515A5"/>
    <w:rsid w:val="00B518BC"/>
    <w:rsid w:val="00B519C7"/>
    <w:rsid w:val="00B51D08"/>
    <w:rsid w:val="00B525A0"/>
    <w:rsid w:val="00B52A2C"/>
    <w:rsid w:val="00B52BAB"/>
    <w:rsid w:val="00B5375A"/>
    <w:rsid w:val="00B541B8"/>
    <w:rsid w:val="00B54302"/>
    <w:rsid w:val="00B54ADE"/>
    <w:rsid w:val="00B562AE"/>
    <w:rsid w:val="00B56402"/>
    <w:rsid w:val="00B56937"/>
    <w:rsid w:val="00B56F2A"/>
    <w:rsid w:val="00B57D79"/>
    <w:rsid w:val="00B57E29"/>
    <w:rsid w:val="00B6076E"/>
    <w:rsid w:val="00B60ED3"/>
    <w:rsid w:val="00B62DE0"/>
    <w:rsid w:val="00B63AEB"/>
    <w:rsid w:val="00B64B99"/>
    <w:rsid w:val="00B6511B"/>
    <w:rsid w:val="00B6585E"/>
    <w:rsid w:val="00B6794B"/>
    <w:rsid w:val="00B7071F"/>
    <w:rsid w:val="00B71556"/>
    <w:rsid w:val="00B71575"/>
    <w:rsid w:val="00B73216"/>
    <w:rsid w:val="00B73A1D"/>
    <w:rsid w:val="00B73BC5"/>
    <w:rsid w:val="00B74ED5"/>
    <w:rsid w:val="00B768F9"/>
    <w:rsid w:val="00B76BCC"/>
    <w:rsid w:val="00B77105"/>
    <w:rsid w:val="00B80D51"/>
    <w:rsid w:val="00B80E33"/>
    <w:rsid w:val="00B819A2"/>
    <w:rsid w:val="00B82A7A"/>
    <w:rsid w:val="00B83179"/>
    <w:rsid w:val="00B83BD0"/>
    <w:rsid w:val="00B84C4F"/>
    <w:rsid w:val="00B84EE3"/>
    <w:rsid w:val="00B85392"/>
    <w:rsid w:val="00B86D0F"/>
    <w:rsid w:val="00B8701E"/>
    <w:rsid w:val="00B87338"/>
    <w:rsid w:val="00B873AA"/>
    <w:rsid w:val="00B874D0"/>
    <w:rsid w:val="00B87D88"/>
    <w:rsid w:val="00B91D23"/>
    <w:rsid w:val="00B92BF7"/>
    <w:rsid w:val="00B936FF"/>
    <w:rsid w:val="00B937D5"/>
    <w:rsid w:val="00B94118"/>
    <w:rsid w:val="00B941E2"/>
    <w:rsid w:val="00B9469C"/>
    <w:rsid w:val="00B94A86"/>
    <w:rsid w:val="00B955EC"/>
    <w:rsid w:val="00B96757"/>
    <w:rsid w:val="00B968A3"/>
    <w:rsid w:val="00B96B33"/>
    <w:rsid w:val="00B96C68"/>
    <w:rsid w:val="00B96FFF"/>
    <w:rsid w:val="00B9728D"/>
    <w:rsid w:val="00B97C2E"/>
    <w:rsid w:val="00BA05DF"/>
    <w:rsid w:val="00BA2768"/>
    <w:rsid w:val="00BA2BBB"/>
    <w:rsid w:val="00BA2E27"/>
    <w:rsid w:val="00BA309F"/>
    <w:rsid w:val="00BA41EC"/>
    <w:rsid w:val="00BA57DB"/>
    <w:rsid w:val="00BA5D4B"/>
    <w:rsid w:val="00BA6B41"/>
    <w:rsid w:val="00BA7B6B"/>
    <w:rsid w:val="00BA7BF9"/>
    <w:rsid w:val="00BB0D17"/>
    <w:rsid w:val="00BB14B4"/>
    <w:rsid w:val="00BB197A"/>
    <w:rsid w:val="00BB2080"/>
    <w:rsid w:val="00BB3052"/>
    <w:rsid w:val="00BB3A44"/>
    <w:rsid w:val="00BB4218"/>
    <w:rsid w:val="00BB46B8"/>
    <w:rsid w:val="00BB4A9B"/>
    <w:rsid w:val="00BB4E75"/>
    <w:rsid w:val="00BB5279"/>
    <w:rsid w:val="00BB64EC"/>
    <w:rsid w:val="00BB7672"/>
    <w:rsid w:val="00BB7AC1"/>
    <w:rsid w:val="00BB7F6F"/>
    <w:rsid w:val="00BC07E2"/>
    <w:rsid w:val="00BC115A"/>
    <w:rsid w:val="00BC1555"/>
    <w:rsid w:val="00BC1D94"/>
    <w:rsid w:val="00BC1FA5"/>
    <w:rsid w:val="00BC2241"/>
    <w:rsid w:val="00BC2622"/>
    <w:rsid w:val="00BC2838"/>
    <w:rsid w:val="00BC291E"/>
    <w:rsid w:val="00BC2B9E"/>
    <w:rsid w:val="00BC2C8C"/>
    <w:rsid w:val="00BC3809"/>
    <w:rsid w:val="00BC3B60"/>
    <w:rsid w:val="00BC42EF"/>
    <w:rsid w:val="00BC4BFB"/>
    <w:rsid w:val="00BC4F9C"/>
    <w:rsid w:val="00BC5994"/>
    <w:rsid w:val="00BC60CF"/>
    <w:rsid w:val="00BC70FB"/>
    <w:rsid w:val="00BC7A5D"/>
    <w:rsid w:val="00BD00D4"/>
    <w:rsid w:val="00BD13C0"/>
    <w:rsid w:val="00BD27A5"/>
    <w:rsid w:val="00BD28CC"/>
    <w:rsid w:val="00BD2C28"/>
    <w:rsid w:val="00BD3BC2"/>
    <w:rsid w:val="00BD3F61"/>
    <w:rsid w:val="00BD402B"/>
    <w:rsid w:val="00BD48DC"/>
    <w:rsid w:val="00BD55CB"/>
    <w:rsid w:val="00BD5E2E"/>
    <w:rsid w:val="00BD7EAE"/>
    <w:rsid w:val="00BD7FB1"/>
    <w:rsid w:val="00BE0288"/>
    <w:rsid w:val="00BE0782"/>
    <w:rsid w:val="00BE0E0A"/>
    <w:rsid w:val="00BE0F06"/>
    <w:rsid w:val="00BE132F"/>
    <w:rsid w:val="00BE1471"/>
    <w:rsid w:val="00BE1F74"/>
    <w:rsid w:val="00BE3AE0"/>
    <w:rsid w:val="00BE49A1"/>
    <w:rsid w:val="00BE505E"/>
    <w:rsid w:val="00BE51CA"/>
    <w:rsid w:val="00BE542D"/>
    <w:rsid w:val="00BE59AB"/>
    <w:rsid w:val="00BE76DB"/>
    <w:rsid w:val="00BE788A"/>
    <w:rsid w:val="00BF0E6E"/>
    <w:rsid w:val="00BF1AE4"/>
    <w:rsid w:val="00BF27DA"/>
    <w:rsid w:val="00BF2AF3"/>
    <w:rsid w:val="00BF30E5"/>
    <w:rsid w:val="00BF4B76"/>
    <w:rsid w:val="00BF4BCD"/>
    <w:rsid w:val="00BF5127"/>
    <w:rsid w:val="00BF5D7A"/>
    <w:rsid w:val="00BF6892"/>
    <w:rsid w:val="00BF6CCA"/>
    <w:rsid w:val="00BF6DBB"/>
    <w:rsid w:val="00BF723B"/>
    <w:rsid w:val="00C004C3"/>
    <w:rsid w:val="00C00F9A"/>
    <w:rsid w:val="00C01120"/>
    <w:rsid w:val="00C0150A"/>
    <w:rsid w:val="00C01920"/>
    <w:rsid w:val="00C01A31"/>
    <w:rsid w:val="00C01BE4"/>
    <w:rsid w:val="00C02908"/>
    <w:rsid w:val="00C04FC8"/>
    <w:rsid w:val="00C05E39"/>
    <w:rsid w:val="00C05F8F"/>
    <w:rsid w:val="00C060F7"/>
    <w:rsid w:val="00C06C65"/>
    <w:rsid w:val="00C06C86"/>
    <w:rsid w:val="00C0779E"/>
    <w:rsid w:val="00C100CA"/>
    <w:rsid w:val="00C11053"/>
    <w:rsid w:val="00C116FD"/>
    <w:rsid w:val="00C13E71"/>
    <w:rsid w:val="00C14141"/>
    <w:rsid w:val="00C14BB5"/>
    <w:rsid w:val="00C16324"/>
    <w:rsid w:val="00C16A7C"/>
    <w:rsid w:val="00C16AEF"/>
    <w:rsid w:val="00C16C3A"/>
    <w:rsid w:val="00C178CE"/>
    <w:rsid w:val="00C20163"/>
    <w:rsid w:val="00C20BC2"/>
    <w:rsid w:val="00C21F7D"/>
    <w:rsid w:val="00C220E1"/>
    <w:rsid w:val="00C2231B"/>
    <w:rsid w:val="00C229F8"/>
    <w:rsid w:val="00C22DAC"/>
    <w:rsid w:val="00C22F08"/>
    <w:rsid w:val="00C24A9A"/>
    <w:rsid w:val="00C2571D"/>
    <w:rsid w:val="00C263EB"/>
    <w:rsid w:val="00C265A6"/>
    <w:rsid w:val="00C26FAD"/>
    <w:rsid w:val="00C2779E"/>
    <w:rsid w:val="00C27A2F"/>
    <w:rsid w:val="00C30529"/>
    <w:rsid w:val="00C3059A"/>
    <w:rsid w:val="00C30882"/>
    <w:rsid w:val="00C32316"/>
    <w:rsid w:val="00C324C0"/>
    <w:rsid w:val="00C346FE"/>
    <w:rsid w:val="00C34C39"/>
    <w:rsid w:val="00C34E6B"/>
    <w:rsid w:val="00C37221"/>
    <w:rsid w:val="00C37B36"/>
    <w:rsid w:val="00C37DBE"/>
    <w:rsid w:val="00C37EC3"/>
    <w:rsid w:val="00C40D8D"/>
    <w:rsid w:val="00C41953"/>
    <w:rsid w:val="00C4203A"/>
    <w:rsid w:val="00C42525"/>
    <w:rsid w:val="00C42827"/>
    <w:rsid w:val="00C436BF"/>
    <w:rsid w:val="00C4398D"/>
    <w:rsid w:val="00C43CD1"/>
    <w:rsid w:val="00C45081"/>
    <w:rsid w:val="00C4519B"/>
    <w:rsid w:val="00C45C05"/>
    <w:rsid w:val="00C462C0"/>
    <w:rsid w:val="00C46323"/>
    <w:rsid w:val="00C46BF6"/>
    <w:rsid w:val="00C47AAE"/>
    <w:rsid w:val="00C503B2"/>
    <w:rsid w:val="00C50F35"/>
    <w:rsid w:val="00C51500"/>
    <w:rsid w:val="00C51522"/>
    <w:rsid w:val="00C51ABD"/>
    <w:rsid w:val="00C52513"/>
    <w:rsid w:val="00C54694"/>
    <w:rsid w:val="00C54D43"/>
    <w:rsid w:val="00C5505C"/>
    <w:rsid w:val="00C56799"/>
    <w:rsid w:val="00C578FC"/>
    <w:rsid w:val="00C60139"/>
    <w:rsid w:val="00C605D1"/>
    <w:rsid w:val="00C610C5"/>
    <w:rsid w:val="00C62ECB"/>
    <w:rsid w:val="00C634A4"/>
    <w:rsid w:val="00C638BF"/>
    <w:rsid w:val="00C64025"/>
    <w:rsid w:val="00C64314"/>
    <w:rsid w:val="00C650DA"/>
    <w:rsid w:val="00C66411"/>
    <w:rsid w:val="00C6644D"/>
    <w:rsid w:val="00C67D16"/>
    <w:rsid w:val="00C70514"/>
    <w:rsid w:val="00C7075F"/>
    <w:rsid w:val="00C70B17"/>
    <w:rsid w:val="00C70B5F"/>
    <w:rsid w:val="00C70D2E"/>
    <w:rsid w:val="00C71C23"/>
    <w:rsid w:val="00C72BFA"/>
    <w:rsid w:val="00C732AE"/>
    <w:rsid w:val="00C73BAD"/>
    <w:rsid w:val="00C73C25"/>
    <w:rsid w:val="00C73DFD"/>
    <w:rsid w:val="00C7508E"/>
    <w:rsid w:val="00C7671C"/>
    <w:rsid w:val="00C77651"/>
    <w:rsid w:val="00C80410"/>
    <w:rsid w:val="00C80A1A"/>
    <w:rsid w:val="00C80E46"/>
    <w:rsid w:val="00C80F07"/>
    <w:rsid w:val="00C8236D"/>
    <w:rsid w:val="00C82899"/>
    <w:rsid w:val="00C82E99"/>
    <w:rsid w:val="00C83510"/>
    <w:rsid w:val="00C83EEA"/>
    <w:rsid w:val="00C84063"/>
    <w:rsid w:val="00C85187"/>
    <w:rsid w:val="00C859E7"/>
    <w:rsid w:val="00C86B6D"/>
    <w:rsid w:val="00C87361"/>
    <w:rsid w:val="00C87B5B"/>
    <w:rsid w:val="00C90350"/>
    <w:rsid w:val="00C9199A"/>
    <w:rsid w:val="00C92047"/>
    <w:rsid w:val="00C925B5"/>
    <w:rsid w:val="00C932EB"/>
    <w:rsid w:val="00C9407E"/>
    <w:rsid w:val="00C94D1E"/>
    <w:rsid w:val="00C94FEC"/>
    <w:rsid w:val="00C9650C"/>
    <w:rsid w:val="00C96623"/>
    <w:rsid w:val="00C96BA6"/>
    <w:rsid w:val="00C97081"/>
    <w:rsid w:val="00C973DA"/>
    <w:rsid w:val="00C97A9F"/>
    <w:rsid w:val="00C97CB7"/>
    <w:rsid w:val="00CA099D"/>
    <w:rsid w:val="00CA09A9"/>
    <w:rsid w:val="00CA0CAE"/>
    <w:rsid w:val="00CA1B4A"/>
    <w:rsid w:val="00CA2152"/>
    <w:rsid w:val="00CA23B8"/>
    <w:rsid w:val="00CA3427"/>
    <w:rsid w:val="00CA39AA"/>
    <w:rsid w:val="00CA39C6"/>
    <w:rsid w:val="00CA4EE5"/>
    <w:rsid w:val="00CA4F59"/>
    <w:rsid w:val="00CA50C8"/>
    <w:rsid w:val="00CA5729"/>
    <w:rsid w:val="00CA57FB"/>
    <w:rsid w:val="00CA595C"/>
    <w:rsid w:val="00CA6000"/>
    <w:rsid w:val="00CA688D"/>
    <w:rsid w:val="00CA6DB5"/>
    <w:rsid w:val="00CA750B"/>
    <w:rsid w:val="00CB106F"/>
    <w:rsid w:val="00CB2989"/>
    <w:rsid w:val="00CB346D"/>
    <w:rsid w:val="00CB3AA2"/>
    <w:rsid w:val="00CB4801"/>
    <w:rsid w:val="00CB4F7D"/>
    <w:rsid w:val="00CB51FB"/>
    <w:rsid w:val="00CB5C97"/>
    <w:rsid w:val="00CB61BD"/>
    <w:rsid w:val="00CB68F3"/>
    <w:rsid w:val="00CC22DE"/>
    <w:rsid w:val="00CC2ABF"/>
    <w:rsid w:val="00CC2C92"/>
    <w:rsid w:val="00CC2F06"/>
    <w:rsid w:val="00CC4488"/>
    <w:rsid w:val="00CC4D16"/>
    <w:rsid w:val="00CC4F04"/>
    <w:rsid w:val="00CC62AF"/>
    <w:rsid w:val="00CC633A"/>
    <w:rsid w:val="00CC6E68"/>
    <w:rsid w:val="00CC77FF"/>
    <w:rsid w:val="00CD06D5"/>
    <w:rsid w:val="00CD0BFF"/>
    <w:rsid w:val="00CD0CA5"/>
    <w:rsid w:val="00CD1307"/>
    <w:rsid w:val="00CD1F17"/>
    <w:rsid w:val="00CD23DE"/>
    <w:rsid w:val="00CD28EF"/>
    <w:rsid w:val="00CD28F4"/>
    <w:rsid w:val="00CD2C7E"/>
    <w:rsid w:val="00CD33F6"/>
    <w:rsid w:val="00CD351A"/>
    <w:rsid w:val="00CD3FFF"/>
    <w:rsid w:val="00CD4023"/>
    <w:rsid w:val="00CD4147"/>
    <w:rsid w:val="00CD5F70"/>
    <w:rsid w:val="00CD6C04"/>
    <w:rsid w:val="00CD6E9B"/>
    <w:rsid w:val="00CD6F9B"/>
    <w:rsid w:val="00CD7B04"/>
    <w:rsid w:val="00CE1018"/>
    <w:rsid w:val="00CE1458"/>
    <w:rsid w:val="00CE14C4"/>
    <w:rsid w:val="00CE1FC3"/>
    <w:rsid w:val="00CE26A4"/>
    <w:rsid w:val="00CE35E3"/>
    <w:rsid w:val="00CE4613"/>
    <w:rsid w:val="00CE468B"/>
    <w:rsid w:val="00CE4ECB"/>
    <w:rsid w:val="00CE5999"/>
    <w:rsid w:val="00CE5EFA"/>
    <w:rsid w:val="00CE6432"/>
    <w:rsid w:val="00CE6E8E"/>
    <w:rsid w:val="00CE70F5"/>
    <w:rsid w:val="00CE71E8"/>
    <w:rsid w:val="00CE7DD7"/>
    <w:rsid w:val="00CF031D"/>
    <w:rsid w:val="00CF1389"/>
    <w:rsid w:val="00CF17EB"/>
    <w:rsid w:val="00CF1EB3"/>
    <w:rsid w:val="00CF26B7"/>
    <w:rsid w:val="00CF3354"/>
    <w:rsid w:val="00CF3CD9"/>
    <w:rsid w:val="00CF4A10"/>
    <w:rsid w:val="00CF4A20"/>
    <w:rsid w:val="00CF5036"/>
    <w:rsid w:val="00CF524E"/>
    <w:rsid w:val="00CF5B60"/>
    <w:rsid w:val="00CF61DA"/>
    <w:rsid w:val="00CF6EB3"/>
    <w:rsid w:val="00D00216"/>
    <w:rsid w:val="00D019DB"/>
    <w:rsid w:val="00D01E8F"/>
    <w:rsid w:val="00D03552"/>
    <w:rsid w:val="00D0371C"/>
    <w:rsid w:val="00D03E98"/>
    <w:rsid w:val="00D03EB0"/>
    <w:rsid w:val="00D0407A"/>
    <w:rsid w:val="00D04595"/>
    <w:rsid w:val="00D04F68"/>
    <w:rsid w:val="00D05E4F"/>
    <w:rsid w:val="00D0676E"/>
    <w:rsid w:val="00D06AAC"/>
    <w:rsid w:val="00D06F70"/>
    <w:rsid w:val="00D07A6C"/>
    <w:rsid w:val="00D07FB7"/>
    <w:rsid w:val="00D107E1"/>
    <w:rsid w:val="00D10C5C"/>
    <w:rsid w:val="00D115CB"/>
    <w:rsid w:val="00D13358"/>
    <w:rsid w:val="00D142D0"/>
    <w:rsid w:val="00D143E3"/>
    <w:rsid w:val="00D14658"/>
    <w:rsid w:val="00D15253"/>
    <w:rsid w:val="00D157DC"/>
    <w:rsid w:val="00D160A4"/>
    <w:rsid w:val="00D16748"/>
    <w:rsid w:val="00D16A03"/>
    <w:rsid w:val="00D22512"/>
    <w:rsid w:val="00D2383C"/>
    <w:rsid w:val="00D24276"/>
    <w:rsid w:val="00D2442F"/>
    <w:rsid w:val="00D2608C"/>
    <w:rsid w:val="00D27E38"/>
    <w:rsid w:val="00D31320"/>
    <w:rsid w:val="00D320D4"/>
    <w:rsid w:val="00D32649"/>
    <w:rsid w:val="00D33570"/>
    <w:rsid w:val="00D3377F"/>
    <w:rsid w:val="00D33DCB"/>
    <w:rsid w:val="00D3496A"/>
    <w:rsid w:val="00D34EBE"/>
    <w:rsid w:val="00D36090"/>
    <w:rsid w:val="00D36980"/>
    <w:rsid w:val="00D37285"/>
    <w:rsid w:val="00D37472"/>
    <w:rsid w:val="00D40879"/>
    <w:rsid w:val="00D41086"/>
    <w:rsid w:val="00D41F13"/>
    <w:rsid w:val="00D4294D"/>
    <w:rsid w:val="00D42EFD"/>
    <w:rsid w:val="00D4331E"/>
    <w:rsid w:val="00D433FA"/>
    <w:rsid w:val="00D43C22"/>
    <w:rsid w:val="00D440E3"/>
    <w:rsid w:val="00D44354"/>
    <w:rsid w:val="00D44A92"/>
    <w:rsid w:val="00D45234"/>
    <w:rsid w:val="00D45997"/>
    <w:rsid w:val="00D47477"/>
    <w:rsid w:val="00D47D0A"/>
    <w:rsid w:val="00D50BEE"/>
    <w:rsid w:val="00D51181"/>
    <w:rsid w:val="00D5355C"/>
    <w:rsid w:val="00D539E2"/>
    <w:rsid w:val="00D53A32"/>
    <w:rsid w:val="00D544EA"/>
    <w:rsid w:val="00D553B6"/>
    <w:rsid w:val="00D56A57"/>
    <w:rsid w:val="00D60100"/>
    <w:rsid w:val="00D60157"/>
    <w:rsid w:val="00D606BF"/>
    <w:rsid w:val="00D610FC"/>
    <w:rsid w:val="00D61AEC"/>
    <w:rsid w:val="00D6231B"/>
    <w:rsid w:val="00D6283F"/>
    <w:rsid w:val="00D62E16"/>
    <w:rsid w:val="00D6363A"/>
    <w:rsid w:val="00D63FE2"/>
    <w:rsid w:val="00D64115"/>
    <w:rsid w:val="00D641E9"/>
    <w:rsid w:val="00D64775"/>
    <w:rsid w:val="00D65AE7"/>
    <w:rsid w:val="00D66CA8"/>
    <w:rsid w:val="00D67202"/>
    <w:rsid w:val="00D67955"/>
    <w:rsid w:val="00D67A9D"/>
    <w:rsid w:val="00D700DB"/>
    <w:rsid w:val="00D70AAC"/>
    <w:rsid w:val="00D7130F"/>
    <w:rsid w:val="00D717DA"/>
    <w:rsid w:val="00D71C70"/>
    <w:rsid w:val="00D725EA"/>
    <w:rsid w:val="00D73526"/>
    <w:rsid w:val="00D737D6"/>
    <w:rsid w:val="00D75613"/>
    <w:rsid w:val="00D75CAD"/>
    <w:rsid w:val="00D76362"/>
    <w:rsid w:val="00D76CA7"/>
    <w:rsid w:val="00D76CE1"/>
    <w:rsid w:val="00D771DE"/>
    <w:rsid w:val="00D7788B"/>
    <w:rsid w:val="00D7796D"/>
    <w:rsid w:val="00D8067B"/>
    <w:rsid w:val="00D8153F"/>
    <w:rsid w:val="00D81C2C"/>
    <w:rsid w:val="00D81D3E"/>
    <w:rsid w:val="00D81E13"/>
    <w:rsid w:val="00D830CF"/>
    <w:rsid w:val="00D848B3"/>
    <w:rsid w:val="00D848E2"/>
    <w:rsid w:val="00D85684"/>
    <w:rsid w:val="00D85E0A"/>
    <w:rsid w:val="00D85EA6"/>
    <w:rsid w:val="00D86AAF"/>
    <w:rsid w:val="00D86B67"/>
    <w:rsid w:val="00D8754A"/>
    <w:rsid w:val="00D87CCC"/>
    <w:rsid w:val="00D87E3A"/>
    <w:rsid w:val="00D90910"/>
    <w:rsid w:val="00D91788"/>
    <w:rsid w:val="00D92220"/>
    <w:rsid w:val="00D92260"/>
    <w:rsid w:val="00D9227D"/>
    <w:rsid w:val="00D9399E"/>
    <w:rsid w:val="00D93DED"/>
    <w:rsid w:val="00D95233"/>
    <w:rsid w:val="00D95707"/>
    <w:rsid w:val="00D95C92"/>
    <w:rsid w:val="00D95CDE"/>
    <w:rsid w:val="00D96799"/>
    <w:rsid w:val="00D97B3A"/>
    <w:rsid w:val="00D97F13"/>
    <w:rsid w:val="00DA107B"/>
    <w:rsid w:val="00DA1491"/>
    <w:rsid w:val="00DA1EAD"/>
    <w:rsid w:val="00DA201E"/>
    <w:rsid w:val="00DA2773"/>
    <w:rsid w:val="00DA288D"/>
    <w:rsid w:val="00DA2AFF"/>
    <w:rsid w:val="00DA333B"/>
    <w:rsid w:val="00DA33CE"/>
    <w:rsid w:val="00DA34F3"/>
    <w:rsid w:val="00DA4E81"/>
    <w:rsid w:val="00DA52C6"/>
    <w:rsid w:val="00DA5810"/>
    <w:rsid w:val="00DA5D23"/>
    <w:rsid w:val="00DA61C8"/>
    <w:rsid w:val="00DA638F"/>
    <w:rsid w:val="00DA6892"/>
    <w:rsid w:val="00DA692A"/>
    <w:rsid w:val="00DA7681"/>
    <w:rsid w:val="00DA771C"/>
    <w:rsid w:val="00DB010B"/>
    <w:rsid w:val="00DB19BE"/>
    <w:rsid w:val="00DB26DC"/>
    <w:rsid w:val="00DB39C6"/>
    <w:rsid w:val="00DB46E8"/>
    <w:rsid w:val="00DB47DB"/>
    <w:rsid w:val="00DB4B41"/>
    <w:rsid w:val="00DB5C35"/>
    <w:rsid w:val="00DB5C7F"/>
    <w:rsid w:val="00DB6663"/>
    <w:rsid w:val="00DB69E4"/>
    <w:rsid w:val="00DB6A5B"/>
    <w:rsid w:val="00DB6BCD"/>
    <w:rsid w:val="00DB6BF7"/>
    <w:rsid w:val="00DC1135"/>
    <w:rsid w:val="00DC2BF5"/>
    <w:rsid w:val="00DC43DF"/>
    <w:rsid w:val="00DC4CFA"/>
    <w:rsid w:val="00DC4EAB"/>
    <w:rsid w:val="00DC5D10"/>
    <w:rsid w:val="00DC6D4A"/>
    <w:rsid w:val="00DC76AF"/>
    <w:rsid w:val="00DD10C2"/>
    <w:rsid w:val="00DD1666"/>
    <w:rsid w:val="00DD3066"/>
    <w:rsid w:val="00DD31DA"/>
    <w:rsid w:val="00DD4257"/>
    <w:rsid w:val="00DD5D76"/>
    <w:rsid w:val="00DD5E32"/>
    <w:rsid w:val="00DD7547"/>
    <w:rsid w:val="00DD7C40"/>
    <w:rsid w:val="00DD7C7D"/>
    <w:rsid w:val="00DD7EA2"/>
    <w:rsid w:val="00DE05FA"/>
    <w:rsid w:val="00DE2091"/>
    <w:rsid w:val="00DE27FF"/>
    <w:rsid w:val="00DE2A87"/>
    <w:rsid w:val="00DE3256"/>
    <w:rsid w:val="00DE524E"/>
    <w:rsid w:val="00DE5A1A"/>
    <w:rsid w:val="00DE675F"/>
    <w:rsid w:val="00DE70C0"/>
    <w:rsid w:val="00DE74B3"/>
    <w:rsid w:val="00DE762F"/>
    <w:rsid w:val="00DE797B"/>
    <w:rsid w:val="00DE7FF1"/>
    <w:rsid w:val="00DF1B05"/>
    <w:rsid w:val="00DF285F"/>
    <w:rsid w:val="00DF2B0A"/>
    <w:rsid w:val="00DF2E18"/>
    <w:rsid w:val="00DF3DFC"/>
    <w:rsid w:val="00DF3E6D"/>
    <w:rsid w:val="00DF4300"/>
    <w:rsid w:val="00DF44C5"/>
    <w:rsid w:val="00DF4710"/>
    <w:rsid w:val="00DF4F9D"/>
    <w:rsid w:val="00DF51EE"/>
    <w:rsid w:val="00DF5AE3"/>
    <w:rsid w:val="00DF5BE4"/>
    <w:rsid w:val="00DF5E31"/>
    <w:rsid w:val="00DF5E60"/>
    <w:rsid w:val="00DF686C"/>
    <w:rsid w:val="00DF6CAF"/>
    <w:rsid w:val="00DF70F4"/>
    <w:rsid w:val="00DF7CEA"/>
    <w:rsid w:val="00E00008"/>
    <w:rsid w:val="00E001D5"/>
    <w:rsid w:val="00E01A27"/>
    <w:rsid w:val="00E021A9"/>
    <w:rsid w:val="00E027DB"/>
    <w:rsid w:val="00E02AEE"/>
    <w:rsid w:val="00E02D27"/>
    <w:rsid w:val="00E0360F"/>
    <w:rsid w:val="00E039DC"/>
    <w:rsid w:val="00E04B8E"/>
    <w:rsid w:val="00E04BCE"/>
    <w:rsid w:val="00E04D72"/>
    <w:rsid w:val="00E052F7"/>
    <w:rsid w:val="00E059B1"/>
    <w:rsid w:val="00E0660F"/>
    <w:rsid w:val="00E06CC8"/>
    <w:rsid w:val="00E07073"/>
    <w:rsid w:val="00E07232"/>
    <w:rsid w:val="00E073DA"/>
    <w:rsid w:val="00E07DB7"/>
    <w:rsid w:val="00E11BD9"/>
    <w:rsid w:val="00E11CEB"/>
    <w:rsid w:val="00E12F8D"/>
    <w:rsid w:val="00E12FC2"/>
    <w:rsid w:val="00E135EF"/>
    <w:rsid w:val="00E14754"/>
    <w:rsid w:val="00E14D69"/>
    <w:rsid w:val="00E15484"/>
    <w:rsid w:val="00E15B22"/>
    <w:rsid w:val="00E15B3C"/>
    <w:rsid w:val="00E15D90"/>
    <w:rsid w:val="00E16276"/>
    <w:rsid w:val="00E165F8"/>
    <w:rsid w:val="00E17C25"/>
    <w:rsid w:val="00E17C7C"/>
    <w:rsid w:val="00E20294"/>
    <w:rsid w:val="00E21166"/>
    <w:rsid w:val="00E21594"/>
    <w:rsid w:val="00E21D0A"/>
    <w:rsid w:val="00E21F39"/>
    <w:rsid w:val="00E229F6"/>
    <w:rsid w:val="00E22AFC"/>
    <w:rsid w:val="00E235F3"/>
    <w:rsid w:val="00E24BD9"/>
    <w:rsid w:val="00E24CBE"/>
    <w:rsid w:val="00E25DDA"/>
    <w:rsid w:val="00E26068"/>
    <w:rsid w:val="00E26B25"/>
    <w:rsid w:val="00E278A3"/>
    <w:rsid w:val="00E27D56"/>
    <w:rsid w:val="00E30000"/>
    <w:rsid w:val="00E30736"/>
    <w:rsid w:val="00E317EB"/>
    <w:rsid w:val="00E32805"/>
    <w:rsid w:val="00E32D14"/>
    <w:rsid w:val="00E32D4B"/>
    <w:rsid w:val="00E32F1A"/>
    <w:rsid w:val="00E33AB7"/>
    <w:rsid w:val="00E33DAA"/>
    <w:rsid w:val="00E34812"/>
    <w:rsid w:val="00E35490"/>
    <w:rsid w:val="00E35DF4"/>
    <w:rsid w:val="00E3642A"/>
    <w:rsid w:val="00E36E41"/>
    <w:rsid w:val="00E37FC3"/>
    <w:rsid w:val="00E41073"/>
    <w:rsid w:val="00E417EF"/>
    <w:rsid w:val="00E4187A"/>
    <w:rsid w:val="00E41E9D"/>
    <w:rsid w:val="00E4279C"/>
    <w:rsid w:val="00E4289F"/>
    <w:rsid w:val="00E446EF"/>
    <w:rsid w:val="00E44711"/>
    <w:rsid w:val="00E450D4"/>
    <w:rsid w:val="00E454C2"/>
    <w:rsid w:val="00E454D7"/>
    <w:rsid w:val="00E46B77"/>
    <w:rsid w:val="00E501C9"/>
    <w:rsid w:val="00E50E66"/>
    <w:rsid w:val="00E512BF"/>
    <w:rsid w:val="00E51F6B"/>
    <w:rsid w:val="00E51FA7"/>
    <w:rsid w:val="00E527BE"/>
    <w:rsid w:val="00E52ADD"/>
    <w:rsid w:val="00E5327F"/>
    <w:rsid w:val="00E53AF3"/>
    <w:rsid w:val="00E53E77"/>
    <w:rsid w:val="00E54873"/>
    <w:rsid w:val="00E56063"/>
    <w:rsid w:val="00E5659F"/>
    <w:rsid w:val="00E56C49"/>
    <w:rsid w:val="00E56D2E"/>
    <w:rsid w:val="00E573FD"/>
    <w:rsid w:val="00E57E0C"/>
    <w:rsid w:val="00E57EE1"/>
    <w:rsid w:val="00E60031"/>
    <w:rsid w:val="00E607D5"/>
    <w:rsid w:val="00E60F18"/>
    <w:rsid w:val="00E6254E"/>
    <w:rsid w:val="00E62593"/>
    <w:rsid w:val="00E62E21"/>
    <w:rsid w:val="00E632EB"/>
    <w:rsid w:val="00E6351B"/>
    <w:rsid w:val="00E63CCC"/>
    <w:rsid w:val="00E65887"/>
    <w:rsid w:val="00E66173"/>
    <w:rsid w:val="00E66B64"/>
    <w:rsid w:val="00E67666"/>
    <w:rsid w:val="00E67E09"/>
    <w:rsid w:val="00E7045B"/>
    <w:rsid w:val="00E70F56"/>
    <w:rsid w:val="00E72196"/>
    <w:rsid w:val="00E72582"/>
    <w:rsid w:val="00E73561"/>
    <w:rsid w:val="00E74BF2"/>
    <w:rsid w:val="00E752CA"/>
    <w:rsid w:val="00E75E2B"/>
    <w:rsid w:val="00E7604B"/>
    <w:rsid w:val="00E76873"/>
    <w:rsid w:val="00E76CFC"/>
    <w:rsid w:val="00E77C02"/>
    <w:rsid w:val="00E801A5"/>
    <w:rsid w:val="00E80892"/>
    <w:rsid w:val="00E80DCF"/>
    <w:rsid w:val="00E8134B"/>
    <w:rsid w:val="00E81BE4"/>
    <w:rsid w:val="00E82636"/>
    <w:rsid w:val="00E82AEA"/>
    <w:rsid w:val="00E82B44"/>
    <w:rsid w:val="00E8334C"/>
    <w:rsid w:val="00E840D5"/>
    <w:rsid w:val="00E84C54"/>
    <w:rsid w:val="00E84D95"/>
    <w:rsid w:val="00E84FE9"/>
    <w:rsid w:val="00E8581F"/>
    <w:rsid w:val="00E86562"/>
    <w:rsid w:val="00E86D99"/>
    <w:rsid w:val="00E90303"/>
    <w:rsid w:val="00E9155A"/>
    <w:rsid w:val="00E91B43"/>
    <w:rsid w:val="00E91D67"/>
    <w:rsid w:val="00E92B81"/>
    <w:rsid w:val="00E93759"/>
    <w:rsid w:val="00E93D2C"/>
    <w:rsid w:val="00E954F7"/>
    <w:rsid w:val="00E95A9C"/>
    <w:rsid w:val="00E967E2"/>
    <w:rsid w:val="00E96973"/>
    <w:rsid w:val="00E96BE8"/>
    <w:rsid w:val="00E96CB6"/>
    <w:rsid w:val="00E971C8"/>
    <w:rsid w:val="00E972AF"/>
    <w:rsid w:val="00E97348"/>
    <w:rsid w:val="00E97A1F"/>
    <w:rsid w:val="00E97A37"/>
    <w:rsid w:val="00E97AAC"/>
    <w:rsid w:val="00EA0BF2"/>
    <w:rsid w:val="00EA205A"/>
    <w:rsid w:val="00EA20E1"/>
    <w:rsid w:val="00EA37EB"/>
    <w:rsid w:val="00EA4161"/>
    <w:rsid w:val="00EA4466"/>
    <w:rsid w:val="00EA4DC9"/>
    <w:rsid w:val="00EA50B6"/>
    <w:rsid w:val="00EA5325"/>
    <w:rsid w:val="00EA60A1"/>
    <w:rsid w:val="00EA65C8"/>
    <w:rsid w:val="00EA68ED"/>
    <w:rsid w:val="00EA7381"/>
    <w:rsid w:val="00EA7E52"/>
    <w:rsid w:val="00EA7FC7"/>
    <w:rsid w:val="00EB039A"/>
    <w:rsid w:val="00EB11A5"/>
    <w:rsid w:val="00EB17EF"/>
    <w:rsid w:val="00EB18FC"/>
    <w:rsid w:val="00EB1F2D"/>
    <w:rsid w:val="00EB26A3"/>
    <w:rsid w:val="00EB3615"/>
    <w:rsid w:val="00EB4457"/>
    <w:rsid w:val="00EB490B"/>
    <w:rsid w:val="00EB4995"/>
    <w:rsid w:val="00EB5108"/>
    <w:rsid w:val="00EB52A8"/>
    <w:rsid w:val="00EB6B60"/>
    <w:rsid w:val="00EB79A8"/>
    <w:rsid w:val="00EC1770"/>
    <w:rsid w:val="00EC2734"/>
    <w:rsid w:val="00EC2FCC"/>
    <w:rsid w:val="00EC2FE6"/>
    <w:rsid w:val="00EC338B"/>
    <w:rsid w:val="00EC3C29"/>
    <w:rsid w:val="00EC4333"/>
    <w:rsid w:val="00EC4CC7"/>
    <w:rsid w:val="00EC5231"/>
    <w:rsid w:val="00EC5343"/>
    <w:rsid w:val="00EC7D0E"/>
    <w:rsid w:val="00ED028C"/>
    <w:rsid w:val="00ED0857"/>
    <w:rsid w:val="00ED0E1C"/>
    <w:rsid w:val="00ED17A7"/>
    <w:rsid w:val="00ED366B"/>
    <w:rsid w:val="00ED3ADD"/>
    <w:rsid w:val="00ED3C17"/>
    <w:rsid w:val="00ED40D8"/>
    <w:rsid w:val="00ED4797"/>
    <w:rsid w:val="00ED5725"/>
    <w:rsid w:val="00ED657C"/>
    <w:rsid w:val="00ED6CD1"/>
    <w:rsid w:val="00ED6FA5"/>
    <w:rsid w:val="00ED730A"/>
    <w:rsid w:val="00EE0636"/>
    <w:rsid w:val="00EE2669"/>
    <w:rsid w:val="00EE2826"/>
    <w:rsid w:val="00EE304D"/>
    <w:rsid w:val="00EE32F1"/>
    <w:rsid w:val="00EE5138"/>
    <w:rsid w:val="00EE52FA"/>
    <w:rsid w:val="00EE54FC"/>
    <w:rsid w:val="00EE5D7C"/>
    <w:rsid w:val="00EE6935"/>
    <w:rsid w:val="00EE7555"/>
    <w:rsid w:val="00EF0BBE"/>
    <w:rsid w:val="00EF0EC8"/>
    <w:rsid w:val="00EF13BA"/>
    <w:rsid w:val="00EF3009"/>
    <w:rsid w:val="00EF3162"/>
    <w:rsid w:val="00EF36C0"/>
    <w:rsid w:val="00EF3A8A"/>
    <w:rsid w:val="00EF506E"/>
    <w:rsid w:val="00EF5306"/>
    <w:rsid w:val="00EF5D8D"/>
    <w:rsid w:val="00EF60F3"/>
    <w:rsid w:val="00EF653F"/>
    <w:rsid w:val="00EF6B52"/>
    <w:rsid w:val="00EF759C"/>
    <w:rsid w:val="00F01BBF"/>
    <w:rsid w:val="00F0242D"/>
    <w:rsid w:val="00F03845"/>
    <w:rsid w:val="00F03E53"/>
    <w:rsid w:val="00F042F8"/>
    <w:rsid w:val="00F047A7"/>
    <w:rsid w:val="00F0494E"/>
    <w:rsid w:val="00F04ADE"/>
    <w:rsid w:val="00F060ED"/>
    <w:rsid w:val="00F06BD1"/>
    <w:rsid w:val="00F06DB2"/>
    <w:rsid w:val="00F06F60"/>
    <w:rsid w:val="00F0785B"/>
    <w:rsid w:val="00F10859"/>
    <w:rsid w:val="00F1131B"/>
    <w:rsid w:val="00F12C5F"/>
    <w:rsid w:val="00F12E86"/>
    <w:rsid w:val="00F132F3"/>
    <w:rsid w:val="00F148D3"/>
    <w:rsid w:val="00F14A0B"/>
    <w:rsid w:val="00F14A7C"/>
    <w:rsid w:val="00F162D0"/>
    <w:rsid w:val="00F16AE7"/>
    <w:rsid w:val="00F16B58"/>
    <w:rsid w:val="00F17994"/>
    <w:rsid w:val="00F201B8"/>
    <w:rsid w:val="00F20216"/>
    <w:rsid w:val="00F20D95"/>
    <w:rsid w:val="00F22A0A"/>
    <w:rsid w:val="00F22D31"/>
    <w:rsid w:val="00F23CB8"/>
    <w:rsid w:val="00F2450A"/>
    <w:rsid w:val="00F24BCD"/>
    <w:rsid w:val="00F25012"/>
    <w:rsid w:val="00F251E8"/>
    <w:rsid w:val="00F27181"/>
    <w:rsid w:val="00F274CD"/>
    <w:rsid w:val="00F318D9"/>
    <w:rsid w:val="00F31C03"/>
    <w:rsid w:val="00F33065"/>
    <w:rsid w:val="00F33266"/>
    <w:rsid w:val="00F33E7B"/>
    <w:rsid w:val="00F34173"/>
    <w:rsid w:val="00F3476F"/>
    <w:rsid w:val="00F34E4C"/>
    <w:rsid w:val="00F355A6"/>
    <w:rsid w:val="00F35B73"/>
    <w:rsid w:val="00F401C2"/>
    <w:rsid w:val="00F407BC"/>
    <w:rsid w:val="00F41BE7"/>
    <w:rsid w:val="00F42A45"/>
    <w:rsid w:val="00F42BAB"/>
    <w:rsid w:val="00F43293"/>
    <w:rsid w:val="00F4368A"/>
    <w:rsid w:val="00F45394"/>
    <w:rsid w:val="00F45A76"/>
    <w:rsid w:val="00F45F4B"/>
    <w:rsid w:val="00F45F96"/>
    <w:rsid w:val="00F473F1"/>
    <w:rsid w:val="00F47739"/>
    <w:rsid w:val="00F504B5"/>
    <w:rsid w:val="00F504DA"/>
    <w:rsid w:val="00F51118"/>
    <w:rsid w:val="00F523ED"/>
    <w:rsid w:val="00F52DFF"/>
    <w:rsid w:val="00F5303B"/>
    <w:rsid w:val="00F531F6"/>
    <w:rsid w:val="00F5375F"/>
    <w:rsid w:val="00F54112"/>
    <w:rsid w:val="00F5461A"/>
    <w:rsid w:val="00F5536A"/>
    <w:rsid w:val="00F553D6"/>
    <w:rsid w:val="00F5556A"/>
    <w:rsid w:val="00F562F8"/>
    <w:rsid w:val="00F56406"/>
    <w:rsid w:val="00F56EE6"/>
    <w:rsid w:val="00F57242"/>
    <w:rsid w:val="00F57DA5"/>
    <w:rsid w:val="00F60076"/>
    <w:rsid w:val="00F605A9"/>
    <w:rsid w:val="00F6064D"/>
    <w:rsid w:val="00F60C72"/>
    <w:rsid w:val="00F60DAC"/>
    <w:rsid w:val="00F61092"/>
    <w:rsid w:val="00F61A81"/>
    <w:rsid w:val="00F62447"/>
    <w:rsid w:val="00F624D7"/>
    <w:rsid w:val="00F62532"/>
    <w:rsid w:val="00F628CA"/>
    <w:rsid w:val="00F64109"/>
    <w:rsid w:val="00F641E1"/>
    <w:rsid w:val="00F64A1D"/>
    <w:rsid w:val="00F664CD"/>
    <w:rsid w:val="00F67667"/>
    <w:rsid w:val="00F67949"/>
    <w:rsid w:val="00F67F50"/>
    <w:rsid w:val="00F70B58"/>
    <w:rsid w:val="00F7103A"/>
    <w:rsid w:val="00F71443"/>
    <w:rsid w:val="00F7164A"/>
    <w:rsid w:val="00F71C14"/>
    <w:rsid w:val="00F71F30"/>
    <w:rsid w:val="00F72010"/>
    <w:rsid w:val="00F738BC"/>
    <w:rsid w:val="00F73C27"/>
    <w:rsid w:val="00F73C78"/>
    <w:rsid w:val="00F74163"/>
    <w:rsid w:val="00F7505F"/>
    <w:rsid w:val="00F75E53"/>
    <w:rsid w:val="00F75EBA"/>
    <w:rsid w:val="00F76089"/>
    <w:rsid w:val="00F76D1C"/>
    <w:rsid w:val="00F76D9D"/>
    <w:rsid w:val="00F772F7"/>
    <w:rsid w:val="00F77D6E"/>
    <w:rsid w:val="00F824E4"/>
    <w:rsid w:val="00F8265B"/>
    <w:rsid w:val="00F82AF6"/>
    <w:rsid w:val="00F82DEF"/>
    <w:rsid w:val="00F832AF"/>
    <w:rsid w:val="00F83634"/>
    <w:rsid w:val="00F84CA9"/>
    <w:rsid w:val="00F85976"/>
    <w:rsid w:val="00F861A0"/>
    <w:rsid w:val="00F861C3"/>
    <w:rsid w:val="00F866E0"/>
    <w:rsid w:val="00F873FA"/>
    <w:rsid w:val="00F87821"/>
    <w:rsid w:val="00F878BC"/>
    <w:rsid w:val="00F87C1D"/>
    <w:rsid w:val="00F90FB3"/>
    <w:rsid w:val="00F90FCE"/>
    <w:rsid w:val="00F914AD"/>
    <w:rsid w:val="00F91606"/>
    <w:rsid w:val="00F91B2D"/>
    <w:rsid w:val="00F920C7"/>
    <w:rsid w:val="00F9273E"/>
    <w:rsid w:val="00F92867"/>
    <w:rsid w:val="00F92E01"/>
    <w:rsid w:val="00F93316"/>
    <w:rsid w:val="00F934C5"/>
    <w:rsid w:val="00F9381B"/>
    <w:rsid w:val="00F93F3F"/>
    <w:rsid w:val="00F94051"/>
    <w:rsid w:val="00F945A5"/>
    <w:rsid w:val="00F95BF0"/>
    <w:rsid w:val="00F960F7"/>
    <w:rsid w:val="00F9633F"/>
    <w:rsid w:val="00F97DF7"/>
    <w:rsid w:val="00FA0112"/>
    <w:rsid w:val="00FA0669"/>
    <w:rsid w:val="00FA156D"/>
    <w:rsid w:val="00FA168D"/>
    <w:rsid w:val="00FA3299"/>
    <w:rsid w:val="00FA4107"/>
    <w:rsid w:val="00FA50B3"/>
    <w:rsid w:val="00FA586A"/>
    <w:rsid w:val="00FA748D"/>
    <w:rsid w:val="00FA7A1C"/>
    <w:rsid w:val="00FB0145"/>
    <w:rsid w:val="00FB08ED"/>
    <w:rsid w:val="00FB1CF0"/>
    <w:rsid w:val="00FB1DCD"/>
    <w:rsid w:val="00FB2127"/>
    <w:rsid w:val="00FB22D0"/>
    <w:rsid w:val="00FB230B"/>
    <w:rsid w:val="00FB24F3"/>
    <w:rsid w:val="00FB27B4"/>
    <w:rsid w:val="00FB380D"/>
    <w:rsid w:val="00FB384C"/>
    <w:rsid w:val="00FB3E09"/>
    <w:rsid w:val="00FB4463"/>
    <w:rsid w:val="00FB4600"/>
    <w:rsid w:val="00FB49B0"/>
    <w:rsid w:val="00FB4A9C"/>
    <w:rsid w:val="00FB5ED9"/>
    <w:rsid w:val="00FB744C"/>
    <w:rsid w:val="00FB74B6"/>
    <w:rsid w:val="00FB7E51"/>
    <w:rsid w:val="00FC02D7"/>
    <w:rsid w:val="00FC0E46"/>
    <w:rsid w:val="00FC11AC"/>
    <w:rsid w:val="00FC1819"/>
    <w:rsid w:val="00FC2711"/>
    <w:rsid w:val="00FC3316"/>
    <w:rsid w:val="00FC37DA"/>
    <w:rsid w:val="00FC3B1A"/>
    <w:rsid w:val="00FC47F8"/>
    <w:rsid w:val="00FC4C0F"/>
    <w:rsid w:val="00FC56CC"/>
    <w:rsid w:val="00FC58F2"/>
    <w:rsid w:val="00FC5A2C"/>
    <w:rsid w:val="00FC6499"/>
    <w:rsid w:val="00FC673B"/>
    <w:rsid w:val="00FC6A6D"/>
    <w:rsid w:val="00FC6D22"/>
    <w:rsid w:val="00FC700C"/>
    <w:rsid w:val="00FC7BB9"/>
    <w:rsid w:val="00FC7DA7"/>
    <w:rsid w:val="00FD0209"/>
    <w:rsid w:val="00FD09B7"/>
    <w:rsid w:val="00FD0FB9"/>
    <w:rsid w:val="00FD1FE5"/>
    <w:rsid w:val="00FD31A7"/>
    <w:rsid w:val="00FD324F"/>
    <w:rsid w:val="00FD3C6A"/>
    <w:rsid w:val="00FD4626"/>
    <w:rsid w:val="00FD49E5"/>
    <w:rsid w:val="00FD4CF4"/>
    <w:rsid w:val="00FD5A75"/>
    <w:rsid w:val="00FD5D43"/>
    <w:rsid w:val="00FD6116"/>
    <w:rsid w:val="00FD6927"/>
    <w:rsid w:val="00FD6EE3"/>
    <w:rsid w:val="00FE10C9"/>
    <w:rsid w:val="00FE21E8"/>
    <w:rsid w:val="00FE26BE"/>
    <w:rsid w:val="00FE53D3"/>
    <w:rsid w:val="00FE594C"/>
    <w:rsid w:val="00FE5CF0"/>
    <w:rsid w:val="00FE601F"/>
    <w:rsid w:val="00FE609A"/>
    <w:rsid w:val="00FE6460"/>
    <w:rsid w:val="00FE799A"/>
    <w:rsid w:val="00FF0098"/>
    <w:rsid w:val="00FF0462"/>
    <w:rsid w:val="00FF0486"/>
    <w:rsid w:val="00FF0BF9"/>
    <w:rsid w:val="00FF18BD"/>
    <w:rsid w:val="00FF1FA1"/>
    <w:rsid w:val="00FF30AF"/>
    <w:rsid w:val="00FF3265"/>
    <w:rsid w:val="00FF3B7E"/>
    <w:rsid w:val="00FF41E0"/>
    <w:rsid w:val="00FF436B"/>
    <w:rsid w:val="00FF5338"/>
    <w:rsid w:val="00FF5958"/>
    <w:rsid w:val="00FF62E8"/>
    <w:rsid w:val="00FF784E"/>
    <w:rsid w:val="00FF7B6D"/>
    <w:rsid w:val="00FF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675E"/>
  <w15:chartTrackingRefBased/>
  <w15:docId w15:val="{9376277A-DEAF-9246-8BC8-F4C21D0D3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4CD"/>
    <w:pPr>
      <w:spacing w:after="0" w:line="240" w:lineRule="auto"/>
    </w:pPr>
    <w:rPr>
      <w:rFonts w:ascii="Times New Roman" w:eastAsia="Times New Roman" w:hAnsi="Times New Roman" w:cs="Times New Roman"/>
      <w:kern w:val="0"/>
      <w14:ligatures w14:val="none"/>
    </w:rPr>
  </w:style>
  <w:style w:type="paragraph" w:styleId="Heading1">
    <w:name w:val="heading 1"/>
    <w:basedOn w:val="NoSpacing"/>
    <w:next w:val="NoSpacing"/>
    <w:link w:val="Heading1Char"/>
    <w:uiPriority w:val="9"/>
    <w:qFormat/>
    <w:rsid w:val="002D7878"/>
    <w:pPr>
      <w:keepNext/>
      <w:keepLines/>
      <w:outlineLvl w:val="0"/>
    </w:pPr>
    <w:rPr>
      <w:rFonts w:eastAsiaTheme="majorEastAsia" w:cstheme="majorBidi"/>
      <w:color w:val="000000" w:themeColor="text1"/>
      <w:szCs w:val="40"/>
    </w:rPr>
  </w:style>
  <w:style w:type="paragraph" w:styleId="Heading2">
    <w:name w:val="heading 2"/>
    <w:basedOn w:val="Normal"/>
    <w:next w:val="Normal"/>
    <w:link w:val="Heading2Char"/>
    <w:uiPriority w:val="9"/>
    <w:unhideWhenUsed/>
    <w:qFormat/>
    <w:rsid w:val="008E40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40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40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0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0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0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0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0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878"/>
    <w:rPr>
      <w:rFonts w:ascii="Times New Roman" w:eastAsiaTheme="majorEastAsia" w:hAnsi="Times New Roman" w:cstheme="majorBidi"/>
      <w:color w:val="000000" w:themeColor="text1"/>
      <w:kern w:val="0"/>
      <w:szCs w:val="40"/>
      <w14:ligatures w14:val="none"/>
    </w:rPr>
  </w:style>
  <w:style w:type="character" w:customStyle="1" w:styleId="Heading2Char">
    <w:name w:val="Heading 2 Char"/>
    <w:basedOn w:val="DefaultParagraphFont"/>
    <w:link w:val="Heading2"/>
    <w:uiPriority w:val="9"/>
    <w:rsid w:val="008E40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40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40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0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0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0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0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02A"/>
    <w:rPr>
      <w:rFonts w:eastAsiaTheme="majorEastAsia" w:cstheme="majorBidi"/>
      <w:color w:val="272727" w:themeColor="text1" w:themeTint="D8"/>
    </w:rPr>
  </w:style>
  <w:style w:type="paragraph" w:styleId="Title">
    <w:name w:val="Title"/>
    <w:basedOn w:val="Normal"/>
    <w:next w:val="Normal"/>
    <w:link w:val="TitleChar"/>
    <w:uiPriority w:val="10"/>
    <w:qFormat/>
    <w:rsid w:val="008E40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0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0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0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02A"/>
    <w:pPr>
      <w:spacing w:before="160"/>
      <w:jc w:val="center"/>
    </w:pPr>
    <w:rPr>
      <w:i/>
      <w:iCs/>
      <w:color w:val="404040" w:themeColor="text1" w:themeTint="BF"/>
    </w:rPr>
  </w:style>
  <w:style w:type="character" w:customStyle="1" w:styleId="QuoteChar">
    <w:name w:val="Quote Char"/>
    <w:basedOn w:val="DefaultParagraphFont"/>
    <w:link w:val="Quote"/>
    <w:uiPriority w:val="29"/>
    <w:rsid w:val="008E402A"/>
    <w:rPr>
      <w:i/>
      <w:iCs/>
      <w:color w:val="404040" w:themeColor="text1" w:themeTint="BF"/>
    </w:rPr>
  </w:style>
  <w:style w:type="paragraph" w:styleId="ListParagraph">
    <w:name w:val="List Paragraph"/>
    <w:basedOn w:val="Normal"/>
    <w:uiPriority w:val="34"/>
    <w:qFormat/>
    <w:rsid w:val="008E402A"/>
    <w:pPr>
      <w:ind w:left="720"/>
      <w:contextualSpacing/>
    </w:pPr>
  </w:style>
  <w:style w:type="character" w:styleId="IntenseEmphasis">
    <w:name w:val="Intense Emphasis"/>
    <w:basedOn w:val="DefaultParagraphFont"/>
    <w:uiPriority w:val="21"/>
    <w:qFormat/>
    <w:rsid w:val="008E402A"/>
    <w:rPr>
      <w:i/>
      <w:iCs/>
      <w:color w:val="0F4761" w:themeColor="accent1" w:themeShade="BF"/>
    </w:rPr>
  </w:style>
  <w:style w:type="paragraph" w:styleId="IntenseQuote">
    <w:name w:val="Intense Quote"/>
    <w:basedOn w:val="Normal"/>
    <w:next w:val="Normal"/>
    <w:link w:val="IntenseQuoteChar"/>
    <w:uiPriority w:val="30"/>
    <w:qFormat/>
    <w:rsid w:val="008E40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02A"/>
    <w:rPr>
      <w:i/>
      <w:iCs/>
      <w:color w:val="0F4761" w:themeColor="accent1" w:themeShade="BF"/>
    </w:rPr>
  </w:style>
  <w:style w:type="character" w:styleId="IntenseReference">
    <w:name w:val="Intense Reference"/>
    <w:basedOn w:val="DefaultParagraphFont"/>
    <w:uiPriority w:val="32"/>
    <w:qFormat/>
    <w:rsid w:val="008E402A"/>
    <w:rPr>
      <w:b/>
      <w:bCs/>
      <w:smallCaps/>
      <w:color w:val="0F4761" w:themeColor="accent1" w:themeShade="BF"/>
      <w:spacing w:val="5"/>
    </w:rPr>
  </w:style>
  <w:style w:type="paragraph" w:styleId="FootnoteText">
    <w:name w:val="footnote text"/>
    <w:basedOn w:val="Normal"/>
    <w:link w:val="FootnoteTextChar"/>
    <w:uiPriority w:val="99"/>
    <w:unhideWhenUsed/>
    <w:rsid w:val="008E402A"/>
    <w:rPr>
      <w:sz w:val="20"/>
      <w:szCs w:val="20"/>
    </w:rPr>
  </w:style>
  <w:style w:type="character" w:customStyle="1" w:styleId="FootnoteTextChar">
    <w:name w:val="Footnote Text Char"/>
    <w:basedOn w:val="DefaultParagraphFont"/>
    <w:link w:val="FootnoteText"/>
    <w:uiPriority w:val="99"/>
    <w:rsid w:val="008E402A"/>
    <w:rPr>
      <w:sz w:val="20"/>
      <w:szCs w:val="20"/>
    </w:rPr>
  </w:style>
  <w:style w:type="character" w:styleId="FootnoteReference">
    <w:name w:val="footnote reference"/>
    <w:basedOn w:val="DefaultParagraphFont"/>
    <w:uiPriority w:val="99"/>
    <w:semiHidden/>
    <w:unhideWhenUsed/>
    <w:rsid w:val="008E402A"/>
    <w:rPr>
      <w:vertAlign w:val="superscript"/>
    </w:rPr>
  </w:style>
  <w:style w:type="paragraph" w:styleId="Footer">
    <w:name w:val="footer"/>
    <w:basedOn w:val="Normal"/>
    <w:link w:val="FooterChar"/>
    <w:uiPriority w:val="99"/>
    <w:unhideWhenUsed/>
    <w:rsid w:val="008E402A"/>
    <w:pPr>
      <w:tabs>
        <w:tab w:val="center" w:pos="4680"/>
        <w:tab w:val="right" w:pos="9360"/>
      </w:tabs>
    </w:pPr>
  </w:style>
  <w:style w:type="character" w:customStyle="1" w:styleId="FooterChar">
    <w:name w:val="Footer Char"/>
    <w:basedOn w:val="DefaultParagraphFont"/>
    <w:link w:val="Footer"/>
    <w:uiPriority w:val="99"/>
    <w:rsid w:val="008E402A"/>
  </w:style>
  <w:style w:type="character" w:styleId="PageNumber">
    <w:name w:val="page number"/>
    <w:basedOn w:val="DefaultParagraphFont"/>
    <w:uiPriority w:val="99"/>
    <w:semiHidden/>
    <w:unhideWhenUsed/>
    <w:rsid w:val="008E402A"/>
  </w:style>
  <w:style w:type="paragraph" w:styleId="TOCHeading">
    <w:name w:val="TOC Heading"/>
    <w:basedOn w:val="Heading1"/>
    <w:next w:val="Normal"/>
    <w:uiPriority w:val="39"/>
    <w:unhideWhenUsed/>
    <w:qFormat/>
    <w:rsid w:val="008E402A"/>
    <w:pPr>
      <w:spacing w:before="480" w:line="276" w:lineRule="auto"/>
      <w:outlineLvl w:val="9"/>
    </w:pPr>
    <w:rPr>
      <w:b/>
      <w:bCs/>
      <w:sz w:val="28"/>
      <w:szCs w:val="28"/>
    </w:rPr>
  </w:style>
  <w:style w:type="paragraph" w:styleId="TOC1">
    <w:name w:val="toc 1"/>
    <w:basedOn w:val="Normal"/>
    <w:next w:val="Normal"/>
    <w:autoRedefine/>
    <w:uiPriority w:val="39"/>
    <w:unhideWhenUsed/>
    <w:rsid w:val="008E402A"/>
    <w:pPr>
      <w:spacing w:before="120"/>
    </w:pPr>
    <w:rPr>
      <w:b/>
      <w:bCs/>
      <w:i/>
      <w:iCs/>
    </w:rPr>
  </w:style>
  <w:style w:type="paragraph" w:styleId="TOC2">
    <w:name w:val="toc 2"/>
    <w:basedOn w:val="Normal"/>
    <w:next w:val="Normal"/>
    <w:autoRedefine/>
    <w:uiPriority w:val="39"/>
    <w:unhideWhenUsed/>
    <w:rsid w:val="008E402A"/>
    <w:pPr>
      <w:spacing w:before="120"/>
      <w:ind w:left="240"/>
    </w:pPr>
    <w:rPr>
      <w:b/>
      <w:bCs/>
      <w:sz w:val="22"/>
      <w:szCs w:val="22"/>
    </w:rPr>
  </w:style>
  <w:style w:type="character" w:styleId="Hyperlink">
    <w:name w:val="Hyperlink"/>
    <w:basedOn w:val="DefaultParagraphFont"/>
    <w:uiPriority w:val="99"/>
    <w:unhideWhenUsed/>
    <w:rsid w:val="008E402A"/>
    <w:rPr>
      <w:color w:val="467886" w:themeColor="hyperlink"/>
      <w:u w:val="single"/>
    </w:rPr>
  </w:style>
  <w:style w:type="character" w:styleId="Strong">
    <w:name w:val="Strong"/>
    <w:basedOn w:val="DefaultParagraphFont"/>
    <w:uiPriority w:val="22"/>
    <w:qFormat/>
    <w:rsid w:val="002110E3"/>
    <w:rPr>
      <w:b/>
      <w:bCs/>
    </w:rPr>
  </w:style>
  <w:style w:type="character" w:styleId="Emphasis">
    <w:name w:val="Emphasis"/>
    <w:basedOn w:val="DefaultParagraphFont"/>
    <w:uiPriority w:val="20"/>
    <w:qFormat/>
    <w:rsid w:val="00F73C78"/>
    <w:rPr>
      <w:i/>
      <w:iCs/>
    </w:rPr>
  </w:style>
  <w:style w:type="character" w:customStyle="1" w:styleId="opinionconcurrance">
    <w:name w:val="opinionconcurrance"/>
    <w:basedOn w:val="DefaultParagraphFont"/>
    <w:rsid w:val="00F73C78"/>
  </w:style>
  <w:style w:type="character" w:styleId="CommentReference">
    <w:name w:val="annotation reference"/>
    <w:basedOn w:val="DefaultParagraphFont"/>
    <w:uiPriority w:val="99"/>
    <w:semiHidden/>
    <w:unhideWhenUsed/>
    <w:rsid w:val="008D5924"/>
    <w:rPr>
      <w:sz w:val="16"/>
      <w:szCs w:val="16"/>
    </w:rPr>
  </w:style>
  <w:style w:type="paragraph" w:styleId="CommentText">
    <w:name w:val="annotation text"/>
    <w:basedOn w:val="Normal"/>
    <w:link w:val="CommentTextChar"/>
    <w:uiPriority w:val="99"/>
    <w:unhideWhenUsed/>
    <w:rsid w:val="008D5924"/>
    <w:rPr>
      <w:sz w:val="20"/>
      <w:szCs w:val="20"/>
    </w:rPr>
  </w:style>
  <w:style w:type="character" w:customStyle="1" w:styleId="CommentTextChar">
    <w:name w:val="Comment Text Char"/>
    <w:basedOn w:val="DefaultParagraphFont"/>
    <w:link w:val="CommentText"/>
    <w:uiPriority w:val="99"/>
    <w:rsid w:val="008D5924"/>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D5924"/>
    <w:rPr>
      <w:b/>
      <w:bCs/>
    </w:rPr>
  </w:style>
  <w:style w:type="character" w:customStyle="1" w:styleId="CommentSubjectChar">
    <w:name w:val="Comment Subject Char"/>
    <w:basedOn w:val="CommentTextChar"/>
    <w:link w:val="CommentSubject"/>
    <w:uiPriority w:val="99"/>
    <w:semiHidden/>
    <w:rsid w:val="008D5924"/>
    <w:rPr>
      <w:rFonts w:ascii="Times New Roman" w:eastAsia="Times New Roman" w:hAnsi="Times New Roman" w:cs="Times New Roman"/>
      <w:b/>
      <w:bCs/>
      <w:kern w:val="0"/>
      <w:sz w:val="20"/>
      <w:szCs w:val="20"/>
      <w14:ligatures w14:val="none"/>
    </w:rPr>
  </w:style>
  <w:style w:type="character" w:styleId="FollowedHyperlink">
    <w:name w:val="FollowedHyperlink"/>
    <w:basedOn w:val="DefaultParagraphFont"/>
    <w:uiPriority w:val="99"/>
    <w:semiHidden/>
    <w:unhideWhenUsed/>
    <w:rsid w:val="00BB64EC"/>
    <w:rPr>
      <w:color w:val="96607D" w:themeColor="followedHyperlink"/>
      <w:u w:val="single"/>
    </w:rPr>
  </w:style>
  <w:style w:type="character" w:styleId="UnresolvedMention">
    <w:name w:val="Unresolved Mention"/>
    <w:basedOn w:val="DefaultParagraphFont"/>
    <w:uiPriority w:val="99"/>
    <w:semiHidden/>
    <w:unhideWhenUsed/>
    <w:rsid w:val="00996B41"/>
    <w:rPr>
      <w:color w:val="605E5C"/>
      <w:shd w:val="clear" w:color="auto" w:fill="E1DFDD"/>
    </w:rPr>
  </w:style>
  <w:style w:type="paragraph" w:styleId="NoSpacing">
    <w:name w:val="No Spacing"/>
    <w:uiPriority w:val="1"/>
    <w:qFormat/>
    <w:rsid w:val="002D7878"/>
    <w:pPr>
      <w:spacing w:after="0"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335A0D"/>
    <w:pPr>
      <w:spacing w:before="100" w:beforeAutospacing="1" w:after="100" w:afterAutospacing="1"/>
    </w:pPr>
  </w:style>
  <w:style w:type="paragraph" w:styleId="Revision">
    <w:name w:val="Revision"/>
    <w:hidden/>
    <w:uiPriority w:val="99"/>
    <w:semiHidden/>
    <w:rsid w:val="00933D83"/>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606CBA"/>
    <w:pPr>
      <w:tabs>
        <w:tab w:val="center" w:pos="4680"/>
        <w:tab w:val="right" w:pos="9360"/>
      </w:tabs>
    </w:pPr>
  </w:style>
  <w:style w:type="character" w:customStyle="1" w:styleId="HeaderChar">
    <w:name w:val="Header Char"/>
    <w:basedOn w:val="DefaultParagraphFont"/>
    <w:link w:val="Header"/>
    <w:uiPriority w:val="99"/>
    <w:rsid w:val="00606CBA"/>
    <w:rPr>
      <w:rFonts w:ascii="Times New Roman" w:eastAsia="Times New Roman" w:hAnsi="Times New Roman" w:cs="Times New Roman"/>
      <w:kern w:val="0"/>
      <w14:ligatures w14:val="none"/>
    </w:rPr>
  </w:style>
  <w:style w:type="paragraph" w:customStyle="1" w:styleId="p1">
    <w:name w:val="p1"/>
    <w:basedOn w:val="Normal"/>
    <w:rsid w:val="001F3D40"/>
    <w:rPr>
      <w:rFonts w:ascii="Times" w:hAnsi="Times"/>
      <w:color w:val="040404"/>
      <w:sz w:val="18"/>
      <w:szCs w:val="18"/>
    </w:rPr>
  </w:style>
  <w:style w:type="character" w:customStyle="1" w:styleId="s1">
    <w:name w:val="s1"/>
    <w:basedOn w:val="DefaultParagraphFont"/>
    <w:rsid w:val="00D539E2"/>
    <w:rPr>
      <w:color w:val="141414"/>
    </w:rPr>
  </w:style>
  <w:style w:type="character" w:customStyle="1" w:styleId="cosearchdetaillevel1">
    <w:name w:val="co_search_detaillevel_1"/>
    <w:basedOn w:val="DefaultParagraphFont"/>
    <w:rsid w:val="00F274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022BB-F8A6-8A4A-89D0-767CA4943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4648</Words>
  <Characters>26494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Milov-Cordoba</dc:creator>
  <cp:keywords/>
  <dc:description/>
  <cp:lastModifiedBy>Mike Milov-Cordoba</cp:lastModifiedBy>
  <cp:revision>4</cp:revision>
  <cp:lastPrinted>2026-03-19T13:31:00Z</cp:lastPrinted>
  <dcterms:created xsi:type="dcterms:W3CDTF">2026-03-30T17:40:00Z</dcterms:created>
  <dcterms:modified xsi:type="dcterms:W3CDTF">2026-03-30T17:41:00Z</dcterms:modified>
</cp:coreProperties>
</file>