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A123" w14:textId="77777777" w:rsidR="00560240" w:rsidRDefault="00A86041" w:rsidP="00A86041">
      <w:pPr>
        <w:adjustRightInd/>
        <w:spacing w:after="160"/>
        <w:contextualSpacing/>
        <w:jc w:val="center"/>
        <w:rPr>
          <w:b/>
        </w:rPr>
      </w:pPr>
      <w:r>
        <w:rPr>
          <w:b/>
        </w:rPr>
        <w:t>Written Testimony of Kelly Percival</w:t>
      </w:r>
    </w:p>
    <w:p w14:paraId="064CA8BD" w14:textId="77777777" w:rsidR="00A86041" w:rsidRDefault="00A86041" w:rsidP="00A86041">
      <w:pPr>
        <w:adjustRightInd/>
        <w:spacing w:after="160"/>
        <w:contextualSpacing/>
        <w:jc w:val="center"/>
        <w:rPr>
          <w:b/>
        </w:rPr>
      </w:pPr>
      <w:r>
        <w:rPr>
          <w:b/>
        </w:rPr>
        <w:t>Counsel, Democracy Program</w:t>
      </w:r>
    </w:p>
    <w:p w14:paraId="45F2193A" w14:textId="77777777" w:rsidR="00A86041" w:rsidRDefault="00A86041" w:rsidP="00A86041">
      <w:pPr>
        <w:adjustRightInd/>
        <w:spacing w:after="160"/>
        <w:contextualSpacing/>
        <w:jc w:val="center"/>
        <w:rPr>
          <w:b/>
        </w:rPr>
      </w:pPr>
      <w:r>
        <w:rPr>
          <w:b/>
        </w:rPr>
        <w:t>Brennan Center for Justice at NYU School of Law</w:t>
      </w:r>
    </w:p>
    <w:p w14:paraId="73BE933E" w14:textId="77777777" w:rsidR="0039055C" w:rsidRDefault="0039055C" w:rsidP="00A86041">
      <w:pPr>
        <w:adjustRightInd/>
        <w:spacing w:after="160"/>
        <w:contextualSpacing/>
        <w:jc w:val="center"/>
        <w:rPr>
          <w:b/>
        </w:rPr>
      </w:pPr>
    </w:p>
    <w:p w14:paraId="7123B52B" w14:textId="77777777" w:rsidR="00A86041" w:rsidRDefault="00A86041" w:rsidP="00A86041">
      <w:pPr>
        <w:adjustRightInd/>
        <w:spacing w:after="160"/>
        <w:contextualSpacing/>
        <w:jc w:val="center"/>
        <w:rPr>
          <w:b/>
        </w:rPr>
      </w:pPr>
      <w:r>
        <w:rPr>
          <w:b/>
        </w:rPr>
        <w:t xml:space="preserve">Before the New York City Council Committee on </w:t>
      </w:r>
      <w:r w:rsidR="006D1B29">
        <w:rPr>
          <w:b/>
        </w:rPr>
        <w:t>Governmental Operations, Committee on Immigration, and Committee on State and Federal Legislation</w:t>
      </w:r>
    </w:p>
    <w:p w14:paraId="01EA385F" w14:textId="77777777" w:rsidR="00A86041" w:rsidRDefault="00A86041" w:rsidP="00A86041">
      <w:pPr>
        <w:adjustRightInd/>
        <w:spacing w:after="160"/>
        <w:contextualSpacing/>
        <w:jc w:val="center"/>
        <w:rPr>
          <w:b/>
        </w:rPr>
      </w:pPr>
      <w:r>
        <w:rPr>
          <w:b/>
        </w:rPr>
        <w:t>RE: Oversight – Preparations For a Complete Count in the 2020 Census</w:t>
      </w:r>
    </w:p>
    <w:p w14:paraId="118150D5" w14:textId="77777777" w:rsidR="0039055C" w:rsidRDefault="0039055C" w:rsidP="00A86041">
      <w:pPr>
        <w:adjustRightInd/>
        <w:spacing w:after="160"/>
        <w:contextualSpacing/>
        <w:jc w:val="center"/>
        <w:rPr>
          <w:b/>
        </w:rPr>
      </w:pPr>
    </w:p>
    <w:p w14:paraId="2906B753" w14:textId="77777777" w:rsidR="006D1B29" w:rsidRDefault="006D1B29" w:rsidP="00A86041">
      <w:pPr>
        <w:adjustRightInd/>
        <w:spacing w:after="160"/>
        <w:contextualSpacing/>
        <w:jc w:val="center"/>
        <w:rPr>
          <w:b/>
        </w:rPr>
      </w:pPr>
      <w:r>
        <w:rPr>
          <w:b/>
        </w:rPr>
        <w:t>October 29, 2019</w:t>
      </w:r>
    </w:p>
    <w:p w14:paraId="01B3C1A0" w14:textId="77777777" w:rsidR="006D1B29" w:rsidRDefault="006D1B29" w:rsidP="00A86041">
      <w:pPr>
        <w:adjustRightInd/>
        <w:spacing w:after="160"/>
        <w:contextualSpacing/>
        <w:jc w:val="center"/>
        <w:rPr>
          <w:b/>
        </w:rPr>
      </w:pPr>
    </w:p>
    <w:p w14:paraId="6817BBC3" w14:textId="6AA506E9" w:rsidR="006D1B29" w:rsidRDefault="006D1B29" w:rsidP="006D1B29">
      <w:pPr>
        <w:adjustRightInd/>
        <w:spacing w:after="160"/>
        <w:contextualSpacing/>
        <w:rPr>
          <w:bCs/>
        </w:rPr>
      </w:pPr>
      <w:r>
        <w:rPr>
          <w:bCs/>
        </w:rPr>
        <w:t xml:space="preserve">Good afternoon members of the </w:t>
      </w:r>
      <w:r w:rsidR="002660B1">
        <w:rPr>
          <w:bCs/>
        </w:rPr>
        <w:t>J</w:t>
      </w:r>
      <w:r w:rsidR="00B06454">
        <w:rPr>
          <w:bCs/>
        </w:rPr>
        <w:t xml:space="preserve">oint </w:t>
      </w:r>
      <w:r>
        <w:rPr>
          <w:bCs/>
        </w:rPr>
        <w:t xml:space="preserve">Committee. My name is Kelly Percival, and I am Counsel </w:t>
      </w:r>
      <w:r w:rsidR="00B9488E">
        <w:rPr>
          <w:bCs/>
        </w:rPr>
        <w:t>to</w:t>
      </w:r>
      <w:r>
        <w:rPr>
          <w:bCs/>
        </w:rPr>
        <w:t xml:space="preserve"> the Democracy Program at the Brennan Center for Justice at NYU School of Law. I am pleased to be testifying today about how </w:t>
      </w:r>
      <w:r w:rsidR="002660B1">
        <w:rPr>
          <w:bCs/>
        </w:rPr>
        <w:t xml:space="preserve">the Council and </w:t>
      </w:r>
      <w:r>
        <w:rPr>
          <w:bCs/>
        </w:rPr>
        <w:t xml:space="preserve">your respective Committees can help ensure that every resident of New York City is counted in the 2020 Census. </w:t>
      </w:r>
    </w:p>
    <w:p w14:paraId="718B2139" w14:textId="77777777" w:rsidR="006D1B29" w:rsidRDefault="006D1B29" w:rsidP="006D1B29">
      <w:pPr>
        <w:adjustRightInd/>
        <w:spacing w:after="160"/>
        <w:contextualSpacing/>
        <w:rPr>
          <w:bCs/>
        </w:rPr>
      </w:pPr>
    </w:p>
    <w:p w14:paraId="01868272" w14:textId="12B533A0" w:rsidR="00F42380" w:rsidRDefault="006D1B29" w:rsidP="006D1B29">
      <w:pPr>
        <w:adjustRightInd/>
        <w:spacing w:after="160"/>
        <w:contextualSpacing/>
        <w:rPr>
          <w:bCs/>
        </w:rPr>
      </w:pPr>
      <w:r>
        <w:rPr>
          <w:bCs/>
        </w:rPr>
        <w:t xml:space="preserve">The Brennan Center is a nonpartisan law and policy institute that seeks to improve our systems of democracy and justice. </w:t>
      </w:r>
      <w:r w:rsidR="00B06454">
        <w:rPr>
          <w:bCs/>
        </w:rPr>
        <w:t>Our</w:t>
      </w:r>
      <w:r>
        <w:rPr>
          <w:bCs/>
        </w:rPr>
        <w:t xml:space="preserve"> Democracy Program focuses </w:t>
      </w:r>
      <w:r w:rsidR="00B06454">
        <w:rPr>
          <w:bCs/>
        </w:rPr>
        <w:t xml:space="preserve">on </w:t>
      </w:r>
      <w:r w:rsidR="0039055C">
        <w:rPr>
          <w:bCs/>
        </w:rPr>
        <w:t xml:space="preserve">ensuring that all Americans </w:t>
      </w:r>
      <w:r w:rsidR="00F42380">
        <w:rPr>
          <w:bCs/>
        </w:rPr>
        <w:t xml:space="preserve">are equally represented in our government </w:t>
      </w:r>
      <w:r w:rsidR="00B06454">
        <w:rPr>
          <w:bCs/>
        </w:rPr>
        <w:t xml:space="preserve">and </w:t>
      </w:r>
      <w:r w:rsidR="0039055C">
        <w:rPr>
          <w:bCs/>
        </w:rPr>
        <w:t xml:space="preserve">have an equal voice in our elections. </w:t>
      </w:r>
      <w:r w:rsidR="00F42380">
        <w:rPr>
          <w:bCs/>
        </w:rPr>
        <w:t xml:space="preserve">Our work promoting voting rights, campaign finance reform, and redistricting integrity seeks to ensure that American democracy is responsive to the needs and desires of </w:t>
      </w:r>
      <w:r w:rsidR="002660B1">
        <w:rPr>
          <w:bCs/>
        </w:rPr>
        <w:t>all people</w:t>
      </w:r>
      <w:r w:rsidR="00F42380">
        <w:rPr>
          <w:bCs/>
        </w:rPr>
        <w:t>.</w:t>
      </w:r>
    </w:p>
    <w:p w14:paraId="2046F0E9" w14:textId="77777777" w:rsidR="00F42380" w:rsidRDefault="00F42380" w:rsidP="006D1B29">
      <w:pPr>
        <w:adjustRightInd/>
        <w:spacing w:after="160"/>
        <w:contextualSpacing/>
        <w:rPr>
          <w:bCs/>
        </w:rPr>
      </w:pPr>
    </w:p>
    <w:p w14:paraId="5C94D58A" w14:textId="1C40C2D1" w:rsidR="006C367F" w:rsidRDefault="0039055C" w:rsidP="006D1B29">
      <w:pPr>
        <w:adjustRightInd/>
        <w:spacing w:after="160"/>
        <w:contextualSpacing/>
        <w:rPr>
          <w:bCs/>
        </w:rPr>
      </w:pPr>
      <w:r>
        <w:rPr>
          <w:bCs/>
        </w:rPr>
        <w:t xml:space="preserve">As part of this work, </w:t>
      </w:r>
      <w:r w:rsidR="002660B1">
        <w:rPr>
          <w:bCs/>
        </w:rPr>
        <w:t xml:space="preserve">the Center </w:t>
      </w:r>
      <w:r w:rsidR="00F42380">
        <w:rPr>
          <w:bCs/>
        </w:rPr>
        <w:t>seek</w:t>
      </w:r>
      <w:r w:rsidR="002660B1">
        <w:rPr>
          <w:bCs/>
        </w:rPr>
        <w:t>s</w:t>
      </w:r>
      <w:r w:rsidR="00F42380">
        <w:rPr>
          <w:bCs/>
        </w:rPr>
        <w:t xml:space="preserve"> to promote a fair and accurate decennial census. The census is the cornerstone of American democracy. Census population numbers are used for apportion</w:t>
      </w:r>
      <w:r w:rsidR="002660B1">
        <w:rPr>
          <w:bCs/>
        </w:rPr>
        <w:t>ing Congress</w:t>
      </w:r>
      <w:r w:rsidR="005E7782">
        <w:rPr>
          <w:bCs/>
        </w:rPr>
        <w:t xml:space="preserve">, </w:t>
      </w:r>
      <w:r w:rsidR="00F42380">
        <w:rPr>
          <w:bCs/>
        </w:rPr>
        <w:t xml:space="preserve">drawing district boundaries for everything from congressional seats to local city council districts, as well as allocating </w:t>
      </w:r>
      <w:r w:rsidR="00016AEC">
        <w:rPr>
          <w:bCs/>
        </w:rPr>
        <w:t>billions of dollars</w:t>
      </w:r>
      <w:r w:rsidR="00B06454">
        <w:rPr>
          <w:bCs/>
        </w:rPr>
        <w:t xml:space="preserve"> annually</w:t>
      </w:r>
      <w:r w:rsidR="00016AEC">
        <w:rPr>
          <w:bCs/>
        </w:rPr>
        <w:t xml:space="preserve"> in </w:t>
      </w:r>
      <w:r w:rsidR="00B06454">
        <w:rPr>
          <w:bCs/>
        </w:rPr>
        <w:t>public</w:t>
      </w:r>
      <w:r w:rsidR="00F42380">
        <w:rPr>
          <w:bCs/>
        </w:rPr>
        <w:t xml:space="preserve"> funding for basic services like schools, roads, and hospitals.</w:t>
      </w:r>
      <w:r w:rsidR="006C367F">
        <w:rPr>
          <w:bCs/>
        </w:rPr>
        <w:t xml:space="preserve"> </w:t>
      </w:r>
      <w:r w:rsidR="00C81C7B">
        <w:rPr>
          <w:bCs/>
        </w:rPr>
        <w:t>Counting everyone here in</w:t>
      </w:r>
      <w:r w:rsidR="00A835E4">
        <w:rPr>
          <w:bCs/>
        </w:rPr>
        <w:t xml:space="preserve"> New York City will be essential for the City to get </w:t>
      </w:r>
      <w:r w:rsidR="00B06454">
        <w:rPr>
          <w:bCs/>
        </w:rPr>
        <w:t xml:space="preserve">the </w:t>
      </w:r>
      <w:r w:rsidR="00A835E4">
        <w:rPr>
          <w:bCs/>
        </w:rPr>
        <w:t xml:space="preserve">financial support </w:t>
      </w:r>
      <w:r w:rsidR="006A4F83">
        <w:rPr>
          <w:bCs/>
        </w:rPr>
        <w:t>it needs to support these services over the next decade</w:t>
      </w:r>
      <w:r w:rsidR="00A835E4">
        <w:rPr>
          <w:bCs/>
        </w:rPr>
        <w:t>.</w:t>
      </w:r>
    </w:p>
    <w:p w14:paraId="54D0EBA1" w14:textId="77777777" w:rsidR="006C367F" w:rsidRDefault="006C367F" w:rsidP="006D1B29">
      <w:pPr>
        <w:adjustRightInd/>
        <w:spacing w:after="160"/>
        <w:contextualSpacing/>
        <w:rPr>
          <w:bCs/>
        </w:rPr>
      </w:pPr>
    </w:p>
    <w:p w14:paraId="26F7EC3C" w14:textId="691ECF75" w:rsidR="00B06454" w:rsidRDefault="00016AEC" w:rsidP="00610892">
      <w:pPr>
        <w:adjustRightInd/>
        <w:spacing w:after="160"/>
        <w:contextualSpacing/>
        <w:rPr>
          <w:bCs/>
        </w:rPr>
      </w:pPr>
      <w:r>
        <w:rPr>
          <w:bCs/>
        </w:rPr>
        <w:t xml:space="preserve">The 2020 </w:t>
      </w:r>
      <w:r w:rsidR="00B06454">
        <w:rPr>
          <w:bCs/>
        </w:rPr>
        <w:t>C</w:t>
      </w:r>
      <w:r>
        <w:rPr>
          <w:bCs/>
        </w:rPr>
        <w:t>ensus faces a variety of threats</w:t>
      </w:r>
      <w:r w:rsidR="00CB370C">
        <w:rPr>
          <w:bCs/>
        </w:rPr>
        <w:t>, ranging</w:t>
      </w:r>
      <w:r w:rsidR="00A835E4">
        <w:rPr>
          <w:bCs/>
        </w:rPr>
        <w:t xml:space="preserve"> from cybersecurity issues to lack of funding. I would like to focus my remarks today on </w:t>
      </w:r>
      <w:r w:rsidR="00610892">
        <w:rPr>
          <w:bCs/>
        </w:rPr>
        <w:t>one threat in particular</w:t>
      </w:r>
      <w:r w:rsidR="00B06454">
        <w:rPr>
          <w:bCs/>
        </w:rPr>
        <w:t>:</w:t>
      </w:r>
      <w:r w:rsidR="00A835E4">
        <w:rPr>
          <w:bCs/>
        </w:rPr>
        <w:t xml:space="preserve"> </w:t>
      </w:r>
      <w:r w:rsidR="002660B1">
        <w:rPr>
          <w:bCs/>
        </w:rPr>
        <w:t xml:space="preserve">widespread </w:t>
      </w:r>
      <w:r w:rsidR="00A835E4">
        <w:rPr>
          <w:bCs/>
        </w:rPr>
        <w:t xml:space="preserve">fears </w:t>
      </w:r>
      <w:r w:rsidR="00610892">
        <w:rPr>
          <w:bCs/>
        </w:rPr>
        <w:t xml:space="preserve">that the federal government intends to use census data to harm census respondents. </w:t>
      </w:r>
      <w:r w:rsidR="005E7782">
        <w:rPr>
          <w:bCs/>
        </w:rPr>
        <w:t>M</w:t>
      </w:r>
      <w:r w:rsidR="00B1453C">
        <w:rPr>
          <w:bCs/>
        </w:rPr>
        <w:t>ore importantly,</w:t>
      </w:r>
      <w:r w:rsidR="005E7782">
        <w:rPr>
          <w:bCs/>
        </w:rPr>
        <w:t xml:space="preserve"> I will suggest </w:t>
      </w:r>
      <w:r w:rsidR="00B1453C">
        <w:rPr>
          <w:bCs/>
        </w:rPr>
        <w:t>what the City can do to limit that threat</w:t>
      </w:r>
      <w:r w:rsidR="00C5011F">
        <w:rPr>
          <w:bCs/>
        </w:rPr>
        <w:t xml:space="preserve"> and </w:t>
      </w:r>
      <w:r w:rsidR="00B003A7">
        <w:rPr>
          <w:bCs/>
        </w:rPr>
        <w:t xml:space="preserve">best </w:t>
      </w:r>
      <w:r w:rsidR="00C5011F">
        <w:rPr>
          <w:bCs/>
        </w:rPr>
        <w:t xml:space="preserve">position </w:t>
      </w:r>
      <w:r w:rsidR="005E7782">
        <w:rPr>
          <w:bCs/>
        </w:rPr>
        <w:t>your</w:t>
      </w:r>
      <w:r w:rsidR="00C5011F">
        <w:rPr>
          <w:bCs/>
        </w:rPr>
        <w:t xml:space="preserve"> residents to be fully counted in 2020.</w:t>
      </w:r>
    </w:p>
    <w:p w14:paraId="6558AC18" w14:textId="77777777" w:rsidR="00B06454" w:rsidRDefault="00B06454" w:rsidP="00610892">
      <w:pPr>
        <w:adjustRightInd/>
        <w:spacing w:after="160"/>
        <w:contextualSpacing/>
        <w:rPr>
          <w:bCs/>
        </w:rPr>
      </w:pPr>
    </w:p>
    <w:p w14:paraId="775A133A" w14:textId="24DDE67B" w:rsidR="00130A34" w:rsidRDefault="00B003A7" w:rsidP="00610892">
      <w:pPr>
        <w:adjustRightInd/>
        <w:spacing w:after="160"/>
        <w:contextualSpacing/>
      </w:pPr>
      <w:r>
        <w:rPr>
          <w:bCs/>
        </w:rPr>
        <w:lastRenderedPageBreak/>
        <w:t xml:space="preserve">First, the threat. </w:t>
      </w:r>
      <w:r w:rsidR="00610892">
        <w:rPr>
          <w:bCs/>
        </w:rPr>
        <w:t>C</w:t>
      </w:r>
      <w:r w:rsidR="00016AEC">
        <w:t xml:space="preserve">oncerns about the confidentiality of data submitted to the </w:t>
      </w:r>
      <w:r w:rsidR="00610892">
        <w:t xml:space="preserve">Census </w:t>
      </w:r>
      <w:r w:rsidR="00016AEC">
        <w:t>Bureau and fears of repercussions for participating in the census</w:t>
      </w:r>
      <w:r w:rsidR="00016AEC" w:rsidDel="00106387">
        <w:t xml:space="preserve"> </w:t>
      </w:r>
      <w:r w:rsidR="00016AEC">
        <w:t xml:space="preserve">are discouraging people from standing up to be counted in 2020. </w:t>
      </w:r>
      <w:r w:rsidR="00783583">
        <w:t>A</w:t>
      </w:r>
      <w:r w:rsidR="00130A34">
        <w:t xml:space="preserve"> Census Bureau survey conducted earlier this year found that almost one-third of respondents were “extremely concerned” or “very concerned” that the Census Bureau would not keep their answers confidential. </w:t>
      </w:r>
      <w:r w:rsidR="00CB370C">
        <w:t>And n</w:t>
      </w:r>
      <w:r w:rsidR="00130A34">
        <w:t>early one-quarter were “extremely” or “very” concerned that the Census Bureau would share their answers with other government agencies or use</w:t>
      </w:r>
      <w:r w:rsidR="00783583">
        <w:t xml:space="preserve"> their answers</w:t>
      </w:r>
      <w:r w:rsidR="00130A34">
        <w:t xml:space="preserve"> against them in some way.</w:t>
      </w:r>
      <w:r w:rsidR="00CB370C">
        <w:rPr>
          <w:rStyle w:val="FootnoteReference"/>
        </w:rPr>
        <w:footnoteReference w:id="1"/>
      </w:r>
    </w:p>
    <w:p w14:paraId="0E90F513" w14:textId="77777777" w:rsidR="00130A34" w:rsidRDefault="00130A34" w:rsidP="00610892">
      <w:pPr>
        <w:adjustRightInd/>
        <w:spacing w:after="160"/>
        <w:contextualSpacing/>
      </w:pPr>
    </w:p>
    <w:p w14:paraId="3CD26A91" w14:textId="1B15DF34" w:rsidR="00130A34" w:rsidRDefault="00783583" w:rsidP="00610892">
      <w:pPr>
        <w:adjustRightInd/>
        <w:spacing w:after="160"/>
        <w:contextualSpacing/>
      </w:pPr>
      <w:r>
        <w:t>These</w:t>
      </w:r>
      <w:r w:rsidR="00130A34">
        <w:t xml:space="preserve"> concerns are not shared</w:t>
      </w:r>
      <w:r w:rsidR="00CB370C">
        <w:t xml:space="preserve"> equally</w:t>
      </w:r>
      <w:r w:rsidR="00130A34">
        <w:t>. C</w:t>
      </w:r>
      <w:r w:rsidR="00016AEC">
        <w:t>ommunities of color—populations that the Census Bureau has long struggled to count fully—</w:t>
      </w:r>
      <w:r w:rsidR="00130A34">
        <w:t xml:space="preserve">are most likely to </w:t>
      </w:r>
      <w:r w:rsidR="00016AEC">
        <w:t xml:space="preserve">fear that participating in the 2020 </w:t>
      </w:r>
      <w:r w:rsidR="00B06454">
        <w:t xml:space="preserve"> C</w:t>
      </w:r>
      <w:r w:rsidR="00016AEC">
        <w:t xml:space="preserve">ensus may result in harm to them. </w:t>
      </w:r>
      <w:r w:rsidR="00130A34">
        <w:t>A recent study</w:t>
      </w:r>
      <w:r w:rsidR="001D4E90">
        <w:t xml:space="preserve"> by the Pew Research Center</w:t>
      </w:r>
      <w:r w:rsidR="00130A34">
        <w:t xml:space="preserve">, for example, found that Black and Hispanic residents are significantly less likely to respond to the 2020 Census than </w:t>
      </w:r>
      <w:r w:rsidR="004F45D8">
        <w:t>non-Hispanic whites</w:t>
      </w:r>
      <w:r w:rsidR="00130A34">
        <w:t>.</w:t>
      </w:r>
      <w:r w:rsidR="00130A34">
        <w:rPr>
          <w:rStyle w:val="FootnoteReference"/>
        </w:rPr>
        <w:footnoteReference w:id="2"/>
      </w:r>
      <w:r w:rsidR="00130A34">
        <w:t xml:space="preserve"> </w:t>
      </w:r>
      <w:r w:rsidR="00513739">
        <w:t>The Census Bureau has likewise found that Black, Hispanic, and Asian</w:t>
      </w:r>
      <w:r w:rsidR="00CB370C">
        <w:t xml:space="preserve"> residents</w:t>
      </w:r>
      <w:r w:rsidR="00513739">
        <w:t xml:space="preserve"> are </w:t>
      </w:r>
      <w:r w:rsidR="001C2434">
        <w:t xml:space="preserve">much </w:t>
      </w:r>
      <w:r w:rsidR="00513739">
        <w:t>more concerned about the confidentiality of their census data</w:t>
      </w:r>
      <w:r w:rsidR="00CB370C">
        <w:t xml:space="preserve"> than white residents.</w:t>
      </w:r>
      <w:r w:rsidR="00513739">
        <w:rPr>
          <w:rStyle w:val="FootnoteReference"/>
        </w:rPr>
        <w:footnoteReference w:id="3"/>
      </w:r>
      <w:r w:rsidR="00513739">
        <w:t xml:space="preserve">    </w:t>
      </w:r>
    </w:p>
    <w:p w14:paraId="52763BDC" w14:textId="49CD2544" w:rsidR="006A4F83" w:rsidRPr="00EE3259" w:rsidRDefault="006A4F83" w:rsidP="006A4F83">
      <w:pPr>
        <w:pStyle w:val="NormalWeb"/>
        <w:spacing w:before="2" w:after="2"/>
        <w:rPr>
          <w:color w:val="000000"/>
          <w:szCs w:val="27"/>
        </w:rPr>
      </w:pPr>
      <w:r w:rsidRPr="00EE3259">
        <w:rPr>
          <w:color w:val="000000"/>
          <w:szCs w:val="27"/>
        </w:rPr>
        <w:t>Many of these fears stem from the Trump administration’s efforts to include a historically unprecedented citizenship question on the 2020 Census. When the Supreme Court held in June 2019 that the administration had acted illegally in attempting to add the question, the President issued an Executive Order calling on the Census Bureau to collect citizenship data from other administrative agencies that it cannot collect through the 2020 Census itself.</w:t>
      </w:r>
      <w:r w:rsidR="00E86574" w:rsidRPr="00E86574">
        <w:rPr>
          <w:rStyle w:val="FootnoteReference"/>
        </w:rPr>
        <w:t xml:space="preserve"> </w:t>
      </w:r>
      <w:r w:rsidR="00E86574">
        <w:rPr>
          <w:rStyle w:val="FootnoteReference"/>
        </w:rPr>
        <w:footnoteReference w:id="4"/>
      </w:r>
      <w:r w:rsidRPr="00EE3259">
        <w:rPr>
          <w:color w:val="000000"/>
          <w:szCs w:val="27"/>
        </w:rPr>
        <w:t xml:space="preserve"> That order has caused </w:t>
      </w:r>
      <w:r w:rsidR="00783583">
        <w:rPr>
          <w:color w:val="000000"/>
          <w:szCs w:val="27"/>
        </w:rPr>
        <w:t xml:space="preserve">further </w:t>
      </w:r>
      <w:r w:rsidRPr="00EE3259">
        <w:rPr>
          <w:color w:val="000000"/>
          <w:szCs w:val="27"/>
        </w:rPr>
        <w:t>confusion and exacerbated fears that census data will be used for harmful purposes.</w:t>
      </w:r>
    </w:p>
    <w:p w14:paraId="7644863B" w14:textId="77777777" w:rsidR="00B003A7" w:rsidRDefault="006A4F83" w:rsidP="006A4F83">
      <w:pPr>
        <w:pStyle w:val="NormalWeb"/>
        <w:spacing w:before="2" w:after="2"/>
        <w:rPr>
          <w:color w:val="000000"/>
          <w:szCs w:val="27"/>
        </w:rPr>
      </w:pPr>
      <w:r w:rsidRPr="00EE3259">
        <w:rPr>
          <w:color w:val="000000"/>
          <w:szCs w:val="27"/>
        </w:rPr>
        <w:t>In a city as racially and ethnically diverse as New York, allaying these fears will be essential to ensuring that everyone is equally counted.</w:t>
      </w:r>
      <w:r>
        <w:rPr>
          <w:color w:val="000000"/>
          <w:szCs w:val="27"/>
        </w:rPr>
        <w:t xml:space="preserve"> </w:t>
      </w:r>
    </w:p>
    <w:p w14:paraId="0F9AFD5C" w14:textId="1D8B19B3" w:rsidR="003B1E41" w:rsidRDefault="006A4F83" w:rsidP="006A4F83">
      <w:pPr>
        <w:pStyle w:val="NormalWeb"/>
        <w:spacing w:before="2" w:after="2"/>
        <w:rPr>
          <w:color w:val="000000"/>
          <w:szCs w:val="27"/>
        </w:rPr>
      </w:pPr>
      <w:r w:rsidRPr="00EE3259">
        <w:rPr>
          <w:color w:val="000000"/>
          <w:szCs w:val="27"/>
        </w:rPr>
        <w:t xml:space="preserve">The City can play a central role in counteracting </w:t>
      </w:r>
      <w:r w:rsidR="00B003A7">
        <w:rPr>
          <w:color w:val="000000"/>
          <w:szCs w:val="27"/>
        </w:rPr>
        <w:t>this climate of fear</w:t>
      </w:r>
      <w:r w:rsidRPr="00EE3259">
        <w:rPr>
          <w:color w:val="000000"/>
          <w:szCs w:val="27"/>
        </w:rPr>
        <w:t xml:space="preserve"> by building public confidence in the security of census</w:t>
      </w:r>
      <w:r w:rsidR="003E010C">
        <w:rPr>
          <w:color w:val="000000"/>
          <w:szCs w:val="27"/>
        </w:rPr>
        <w:t xml:space="preserve"> data</w:t>
      </w:r>
      <w:r w:rsidR="003B1E41">
        <w:rPr>
          <w:color w:val="000000"/>
          <w:szCs w:val="27"/>
        </w:rPr>
        <w:t>.</w:t>
      </w:r>
      <w:r w:rsidRPr="00EE3259">
        <w:rPr>
          <w:color w:val="000000"/>
          <w:szCs w:val="27"/>
        </w:rPr>
        <w:t xml:space="preserve"> </w:t>
      </w:r>
    </w:p>
    <w:p w14:paraId="7008ABF1" w14:textId="3C8569E4" w:rsidR="00785911" w:rsidRDefault="006A4F83" w:rsidP="00785911">
      <w:pPr>
        <w:pStyle w:val="NormalWeb"/>
        <w:spacing w:before="2" w:after="2"/>
        <w:rPr>
          <w:color w:val="000000"/>
          <w:szCs w:val="32"/>
        </w:rPr>
      </w:pPr>
      <w:r w:rsidRPr="00EE3259">
        <w:rPr>
          <w:color w:val="000000"/>
          <w:szCs w:val="27"/>
        </w:rPr>
        <w:t xml:space="preserve">The City should undertake advertising </w:t>
      </w:r>
      <w:r w:rsidR="00C63742">
        <w:rPr>
          <w:color w:val="000000"/>
          <w:szCs w:val="27"/>
        </w:rPr>
        <w:t xml:space="preserve">and public education </w:t>
      </w:r>
      <w:r w:rsidRPr="00EE3259">
        <w:rPr>
          <w:color w:val="000000"/>
          <w:szCs w:val="27"/>
        </w:rPr>
        <w:t>campaigns to assure affected populations that no citizenship question will appear on the 2020 Census and that the information they provide on the census cannot be used against them</w:t>
      </w:r>
      <w:r w:rsidR="00C34F5E" w:rsidRPr="009F0912">
        <w:t>.</w:t>
      </w:r>
      <w:r w:rsidR="003B1E41">
        <w:rPr>
          <w:color w:val="000000"/>
          <w:szCs w:val="27"/>
        </w:rPr>
        <w:t xml:space="preserve"> </w:t>
      </w:r>
      <w:r w:rsidR="00970F87">
        <w:rPr>
          <w:color w:val="000000"/>
          <w:szCs w:val="27"/>
        </w:rPr>
        <w:t>The City’s p</w:t>
      </w:r>
      <w:r>
        <w:rPr>
          <w:color w:val="000000"/>
          <w:szCs w:val="27"/>
        </w:rPr>
        <w:t>ublic messaging</w:t>
      </w:r>
      <w:r w:rsidRPr="00EE3259">
        <w:rPr>
          <w:color w:val="000000"/>
          <w:szCs w:val="27"/>
        </w:rPr>
        <w:t xml:space="preserve"> should include information about the laws that protect the confidentiality of census data. </w:t>
      </w:r>
      <w:r>
        <w:rPr>
          <w:color w:val="000000"/>
          <w:szCs w:val="27"/>
        </w:rPr>
        <w:t xml:space="preserve">Those laws </w:t>
      </w:r>
      <w:r w:rsidR="00783583">
        <w:rPr>
          <w:color w:val="000000"/>
          <w:szCs w:val="27"/>
        </w:rPr>
        <w:t>are</w:t>
      </w:r>
      <w:r>
        <w:rPr>
          <w:color w:val="000000"/>
          <w:szCs w:val="27"/>
        </w:rPr>
        <w:t xml:space="preserve"> ironclad. </w:t>
      </w:r>
      <w:r w:rsidRPr="00EE3259">
        <w:rPr>
          <w:color w:val="000000"/>
          <w:szCs w:val="27"/>
        </w:rPr>
        <w:t>The federal Census Act</w:t>
      </w:r>
      <w:r w:rsidR="00783583">
        <w:rPr>
          <w:color w:val="000000"/>
          <w:szCs w:val="27"/>
        </w:rPr>
        <w:t>—</w:t>
      </w:r>
      <w:r w:rsidRPr="00EE3259">
        <w:rPr>
          <w:color w:val="000000"/>
          <w:szCs w:val="27"/>
        </w:rPr>
        <w:t>Title 13 of the U.S. Code</w:t>
      </w:r>
      <w:r w:rsidR="00783583">
        <w:rPr>
          <w:color w:val="000000"/>
          <w:szCs w:val="27"/>
        </w:rPr>
        <w:t>—</w:t>
      </w:r>
      <w:r w:rsidRPr="00EE3259">
        <w:rPr>
          <w:color w:val="000000"/>
          <w:szCs w:val="27"/>
        </w:rPr>
        <w:t xml:space="preserve"> </w:t>
      </w:r>
      <w:r>
        <w:rPr>
          <w:color w:val="000000"/>
          <w:szCs w:val="27"/>
        </w:rPr>
        <w:t xml:space="preserve">prohibits the </w:t>
      </w:r>
      <w:r>
        <w:rPr>
          <w:color w:val="000000"/>
          <w:szCs w:val="32"/>
        </w:rPr>
        <w:t xml:space="preserve">Census Bureau </w:t>
      </w:r>
      <w:r>
        <w:rPr>
          <w:color w:val="000000"/>
          <w:szCs w:val="32"/>
        </w:rPr>
        <w:lastRenderedPageBreak/>
        <w:t>from disclosing</w:t>
      </w:r>
      <w:r w:rsidRPr="00EE3259">
        <w:rPr>
          <w:color w:val="000000"/>
          <w:szCs w:val="32"/>
        </w:rPr>
        <w:t xml:space="preserve"> any personally identifiable information</w:t>
      </w:r>
      <w:r>
        <w:rPr>
          <w:color w:val="000000"/>
          <w:szCs w:val="32"/>
        </w:rPr>
        <w:t xml:space="preserve"> that it receives</w:t>
      </w:r>
      <w:r w:rsidRPr="00EE3259">
        <w:rPr>
          <w:color w:val="000000"/>
          <w:szCs w:val="32"/>
        </w:rPr>
        <w:t>.</w:t>
      </w:r>
      <w:r>
        <w:rPr>
          <w:rStyle w:val="FootnoteReference"/>
        </w:rPr>
        <w:footnoteReference w:id="5"/>
      </w:r>
      <w:r w:rsidRPr="00EE3259">
        <w:rPr>
          <w:color w:val="000000"/>
          <w:szCs w:val="32"/>
        </w:rPr>
        <w:t xml:space="preserve"> </w:t>
      </w:r>
      <w:r>
        <w:rPr>
          <w:color w:val="000000"/>
          <w:szCs w:val="32"/>
        </w:rPr>
        <w:t xml:space="preserve">Title 13 also makes it </w:t>
      </w:r>
      <w:r w:rsidRPr="00EE3259">
        <w:rPr>
          <w:color w:val="000000"/>
          <w:szCs w:val="32"/>
        </w:rPr>
        <w:t>illegal for census data to be used for any nonstatistical purpose.</w:t>
      </w:r>
      <w:r w:rsidRPr="006A4F83">
        <w:rPr>
          <w:rStyle w:val="FootnoteReference"/>
        </w:rPr>
        <w:t xml:space="preserve"> </w:t>
      </w:r>
      <w:r>
        <w:rPr>
          <w:rStyle w:val="FootnoteReference"/>
        </w:rPr>
        <w:footnoteReference w:id="6"/>
      </w:r>
      <w:r w:rsidRPr="00EE3259">
        <w:rPr>
          <w:color w:val="000000"/>
          <w:szCs w:val="32"/>
        </w:rPr>
        <w:t xml:space="preserve"> </w:t>
      </w:r>
      <w:r w:rsidR="00783583">
        <w:rPr>
          <w:color w:val="000000"/>
          <w:szCs w:val="32"/>
        </w:rPr>
        <w:t>That means that</w:t>
      </w:r>
      <w:r w:rsidRPr="00EE3259">
        <w:rPr>
          <w:color w:val="000000"/>
          <w:szCs w:val="32"/>
        </w:rPr>
        <w:t xml:space="preserve"> the government cannot use census data for things like immigration enforcement or criminal prosecution. </w:t>
      </w:r>
      <w:r w:rsidR="00785911" w:rsidRPr="00EE3259">
        <w:rPr>
          <w:color w:val="000000"/>
          <w:szCs w:val="32"/>
        </w:rPr>
        <w:t xml:space="preserve">It is </w:t>
      </w:r>
      <w:r w:rsidR="00785911">
        <w:rPr>
          <w:color w:val="000000"/>
          <w:szCs w:val="32"/>
        </w:rPr>
        <w:t xml:space="preserve">also </w:t>
      </w:r>
      <w:r w:rsidR="00785911" w:rsidRPr="00EE3259">
        <w:rPr>
          <w:color w:val="000000"/>
          <w:szCs w:val="32"/>
        </w:rPr>
        <w:t>illegal for the Census Bureau to give census responses to other government agencies. In other words, agencies like Immigration and Customs Enforcement have no legal way to access census responses.</w:t>
      </w:r>
    </w:p>
    <w:p w14:paraId="358C094F" w14:textId="3181270B" w:rsidR="006A4F83" w:rsidRDefault="006A4F83" w:rsidP="00785911">
      <w:pPr>
        <w:pStyle w:val="NormalWeb"/>
        <w:spacing w:before="2" w:after="2"/>
        <w:rPr>
          <w:color w:val="000000"/>
          <w:szCs w:val="32"/>
        </w:rPr>
      </w:pPr>
      <w:r>
        <w:rPr>
          <w:color w:val="000000"/>
          <w:szCs w:val="32"/>
        </w:rPr>
        <w:t xml:space="preserve">In addition to those core protections, Title 13 </w:t>
      </w:r>
      <w:r w:rsidR="00785911">
        <w:rPr>
          <w:color w:val="000000"/>
          <w:szCs w:val="32"/>
        </w:rPr>
        <w:t xml:space="preserve">prohibits anyone </w:t>
      </w:r>
      <w:r w:rsidRPr="00EE3259">
        <w:rPr>
          <w:color w:val="000000"/>
          <w:szCs w:val="32"/>
        </w:rPr>
        <w:t>except for Census Bureau employees to see census responses.</w:t>
      </w:r>
      <w:r w:rsidR="00BB76E0">
        <w:rPr>
          <w:rStyle w:val="FootnoteReference"/>
          <w:color w:val="000000"/>
          <w:szCs w:val="32"/>
        </w:rPr>
        <w:footnoteReference w:id="7"/>
      </w:r>
      <w:r w:rsidRPr="00EE3259">
        <w:rPr>
          <w:color w:val="000000"/>
          <w:szCs w:val="32"/>
        </w:rPr>
        <w:t xml:space="preserve"> Bureau employees are sworn to secrecy under the threat of criminal prosecution, and they can be sent to prison for up to five years and fined up to $25</w:t>
      </w:r>
      <w:r>
        <w:rPr>
          <w:color w:val="000000"/>
          <w:szCs w:val="32"/>
        </w:rPr>
        <w:t>0,000 if they break their oath.</w:t>
      </w:r>
      <w:r w:rsidR="00BB76E0">
        <w:rPr>
          <w:rStyle w:val="FootnoteReference"/>
          <w:color w:val="000000"/>
          <w:szCs w:val="32"/>
        </w:rPr>
        <w:footnoteReference w:id="8"/>
      </w:r>
    </w:p>
    <w:p w14:paraId="41FF7EBC" w14:textId="2F339F9F" w:rsidR="006A4F83" w:rsidRPr="00766F9B" w:rsidRDefault="00785911" w:rsidP="006A4F83">
      <w:pPr>
        <w:pStyle w:val="NormalWeb"/>
        <w:spacing w:before="2" w:after="2"/>
        <w:rPr>
          <w:color w:val="000000"/>
          <w:szCs w:val="32"/>
        </w:rPr>
      </w:pPr>
      <w:r>
        <w:rPr>
          <w:color w:val="000000"/>
          <w:szCs w:val="32"/>
        </w:rPr>
        <w:t xml:space="preserve">Finally, </w:t>
      </w:r>
      <w:r w:rsidR="00970F87">
        <w:rPr>
          <w:color w:val="000000"/>
          <w:szCs w:val="32"/>
        </w:rPr>
        <w:t>Title 13 prohibits</w:t>
      </w:r>
      <w:r w:rsidR="006A4F83" w:rsidRPr="00EE3259">
        <w:rPr>
          <w:color w:val="000000"/>
          <w:szCs w:val="32"/>
        </w:rPr>
        <w:t xml:space="preserve"> the federal government </w:t>
      </w:r>
      <w:r w:rsidR="00970F87">
        <w:rPr>
          <w:color w:val="000000"/>
          <w:szCs w:val="32"/>
        </w:rPr>
        <w:t>from</w:t>
      </w:r>
      <w:r w:rsidR="006A4F83" w:rsidRPr="00EE3259">
        <w:rPr>
          <w:color w:val="000000"/>
          <w:szCs w:val="32"/>
        </w:rPr>
        <w:t xml:space="preserve"> us</w:t>
      </w:r>
      <w:r w:rsidR="00970F87">
        <w:rPr>
          <w:color w:val="000000"/>
          <w:szCs w:val="32"/>
        </w:rPr>
        <w:t>ing</w:t>
      </w:r>
      <w:r w:rsidR="006A4F83" w:rsidRPr="00EE3259">
        <w:rPr>
          <w:color w:val="000000"/>
          <w:szCs w:val="32"/>
        </w:rPr>
        <w:t xml:space="preserve"> census responses to harm anyone.</w:t>
      </w:r>
      <w:r w:rsidR="00BB76E0">
        <w:rPr>
          <w:rStyle w:val="FootnoteReference"/>
          <w:color w:val="000000"/>
          <w:szCs w:val="32"/>
        </w:rPr>
        <w:footnoteReference w:id="9"/>
      </w:r>
    </w:p>
    <w:p w14:paraId="0509DA8B" w14:textId="77777777" w:rsidR="006A4F83" w:rsidRPr="00EE3259" w:rsidRDefault="006A4F83" w:rsidP="006A4F83">
      <w:pPr>
        <w:pStyle w:val="NormalWeb"/>
        <w:rPr>
          <w:color w:val="000000"/>
          <w:szCs w:val="32"/>
        </w:rPr>
      </w:pPr>
      <w:r w:rsidRPr="00EE3259">
        <w:rPr>
          <w:color w:val="000000"/>
          <w:szCs w:val="32"/>
        </w:rPr>
        <w:t xml:space="preserve">All these prohibitions apply </w:t>
      </w:r>
      <w:r>
        <w:rPr>
          <w:color w:val="000000"/>
          <w:szCs w:val="32"/>
        </w:rPr>
        <w:t>equally to any information the Census B</w:t>
      </w:r>
      <w:r w:rsidRPr="00EE3259">
        <w:rPr>
          <w:color w:val="000000"/>
          <w:szCs w:val="32"/>
        </w:rPr>
        <w:t>ureau gathers using administrative records from other agencies</w:t>
      </w:r>
      <w:r>
        <w:rPr>
          <w:color w:val="000000"/>
          <w:szCs w:val="32"/>
        </w:rPr>
        <w:t>, including any information on citizenship that the Bureau may gather pursuant to the July 11 Executive Order</w:t>
      </w:r>
      <w:r w:rsidRPr="00EE3259">
        <w:rPr>
          <w:color w:val="000000"/>
          <w:szCs w:val="32"/>
        </w:rPr>
        <w:t xml:space="preserve">. </w:t>
      </w:r>
    </w:p>
    <w:p w14:paraId="5209E342" w14:textId="792CD6C5" w:rsidR="006A4F83" w:rsidRDefault="006A4F83" w:rsidP="006A4F83">
      <w:pPr>
        <w:pStyle w:val="NormalWeb"/>
        <w:rPr>
          <w:color w:val="000000"/>
          <w:szCs w:val="32"/>
        </w:rPr>
      </w:pPr>
      <w:r>
        <w:rPr>
          <w:color w:val="000000"/>
          <w:szCs w:val="32"/>
        </w:rPr>
        <w:t>In order to ensure maximum participation in the 2020 Census, census respondents should be informed that the Bureau</w:t>
      </w:r>
      <w:r w:rsidRPr="00EE3259">
        <w:rPr>
          <w:color w:val="000000"/>
          <w:szCs w:val="32"/>
        </w:rPr>
        <w:t xml:space="preserve"> operates as a sort of vacuum: it can take in most any information it wants</w:t>
      </w:r>
      <w:r w:rsidR="00C71D36">
        <w:rPr>
          <w:color w:val="000000"/>
          <w:szCs w:val="32"/>
        </w:rPr>
        <w:t xml:space="preserve"> from other agencies</w:t>
      </w:r>
      <w:r w:rsidRPr="00EE3259">
        <w:rPr>
          <w:color w:val="000000"/>
          <w:szCs w:val="32"/>
        </w:rPr>
        <w:t xml:space="preserve">, but it cannot release that information unless it complies with all the applicable confidentiality restrictions. </w:t>
      </w:r>
      <w:r>
        <w:rPr>
          <w:color w:val="000000"/>
          <w:szCs w:val="32"/>
        </w:rPr>
        <w:t xml:space="preserve">The Census </w:t>
      </w:r>
      <w:r w:rsidRPr="00EE3259">
        <w:rPr>
          <w:color w:val="000000"/>
          <w:szCs w:val="32"/>
        </w:rPr>
        <w:t>Bureau</w:t>
      </w:r>
      <w:r>
        <w:rPr>
          <w:color w:val="000000"/>
          <w:szCs w:val="32"/>
        </w:rPr>
        <w:t xml:space="preserve">’s most recent policy on safeguarding and managing census data </w:t>
      </w:r>
      <w:r w:rsidRPr="00EE3259">
        <w:rPr>
          <w:color w:val="000000"/>
          <w:szCs w:val="32"/>
        </w:rPr>
        <w:t xml:space="preserve">endorses this view, and specifically notes that Title 13 protects administrative records the </w:t>
      </w:r>
      <w:r w:rsidR="00E14744">
        <w:rPr>
          <w:color w:val="000000"/>
          <w:szCs w:val="32"/>
        </w:rPr>
        <w:t>B</w:t>
      </w:r>
      <w:bookmarkStart w:id="0" w:name="_GoBack"/>
      <w:bookmarkEnd w:id="0"/>
      <w:r w:rsidRPr="00EE3259">
        <w:rPr>
          <w:color w:val="000000"/>
          <w:szCs w:val="32"/>
        </w:rPr>
        <w:t>ureau receives from other agencies.</w:t>
      </w:r>
      <w:r>
        <w:rPr>
          <w:rStyle w:val="FootnoteReference"/>
          <w:color w:val="000000"/>
          <w:szCs w:val="32"/>
        </w:rPr>
        <w:footnoteReference w:id="10"/>
      </w:r>
      <w:r w:rsidRPr="00EE3259">
        <w:rPr>
          <w:color w:val="000000"/>
          <w:szCs w:val="32"/>
        </w:rPr>
        <w:t xml:space="preserve"> </w:t>
      </w:r>
      <w:r w:rsidR="00CE7602">
        <w:rPr>
          <w:color w:val="000000"/>
          <w:szCs w:val="32"/>
        </w:rPr>
        <w:t>John Abowd, t</w:t>
      </w:r>
      <w:r w:rsidRPr="00EE3259">
        <w:rPr>
          <w:color w:val="000000"/>
          <w:szCs w:val="32"/>
        </w:rPr>
        <w:t xml:space="preserve">he </w:t>
      </w:r>
      <w:r w:rsidR="00CE7602">
        <w:rPr>
          <w:color w:val="000000"/>
          <w:szCs w:val="32"/>
        </w:rPr>
        <w:t>B</w:t>
      </w:r>
      <w:r w:rsidRPr="00EE3259">
        <w:rPr>
          <w:color w:val="000000"/>
          <w:szCs w:val="32"/>
        </w:rPr>
        <w:t xml:space="preserve">ureau’s chief scientist, moreover, confirmed this strict confidentiality policy in a </w:t>
      </w:r>
      <w:r w:rsidR="00BE63E2">
        <w:rPr>
          <w:color w:val="000000"/>
          <w:szCs w:val="32"/>
        </w:rPr>
        <w:t xml:space="preserve">recent </w:t>
      </w:r>
      <w:r w:rsidR="00CE7602">
        <w:rPr>
          <w:color w:val="000000"/>
          <w:szCs w:val="32"/>
        </w:rPr>
        <w:t xml:space="preserve">presentation </w:t>
      </w:r>
      <w:r w:rsidRPr="00EE3259">
        <w:rPr>
          <w:color w:val="000000"/>
          <w:szCs w:val="32"/>
        </w:rPr>
        <w:t>on collecting administrative records on citizenship.</w:t>
      </w:r>
      <w:r w:rsidR="00CE7602">
        <w:rPr>
          <w:rStyle w:val="FootnoteReference"/>
          <w:color w:val="000000"/>
          <w:szCs w:val="32"/>
        </w:rPr>
        <w:footnoteReference w:id="11"/>
      </w:r>
    </w:p>
    <w:p w14:paraId="4B668536" w14:textId="77777777" w:rsidR="00E86574" w:rsidRDefault="006A4F83" w:rsidP="00E86574">
      <w:pPr>
        <w:pStyle w:val="NormalWeb"/>
        <w:rPr>
          <w:color w:val="000000"/>
          <w:szCs w:val="32"/>
        </w:rPr>
      </w:pPr>
      <w:r w:rsidRPr="00EE3259">
        <w:rPr>
          <w:color w:val="000000"/>
          <w:szCs w:val="32"/>
        </w:rPr>
        <w:t>Title 13 is just one of the many laws that protect the confidentiality of census data. Other federal laws, including the Confidential Information Protection and Statistical Efficiency Act, the Privacy Act, and the tax code, provide additional safeguards.</w:t>
      </w:r>
      <w:r w:rsidR="00BB76E0">
        <w:rPr>
          <w:color w:val="000000"/>
          <w:szCs w:val="32"/>
        </w:rPr>
        <w:t xml:space="preserve"> I have included a comprehensive guide to these laws in my written testimony.</w:t>
      </w:r>
      <w:r w:rsidR="00BB76E0">
        <w:rPr>
          <w:rStyle w:val="FootnoteReference"/>
          <w:color w:val="000000"/>
          <w:szCs w:val="32"/>
        </w:rPr>
        <w:footnoteReference w:id="12"/>
      </w:r>
    </w:p>
    <w:p w14:paraId="0C7D68F5" w14:textId="4ED84526" w:rsidR="005C5BE2" w:rsidRDefault="00DF35A3" w:rsidP="006D1B29">
      <w:pPr>
        <w:adjustRightInd/>
        <w:spacing w:after="160"/>
        <w:contextualSpacing/>
        <w:rPr>
          <w:bCs/>
        </w:rPr>
      </w:pPr>
      <w:r>
        <w:rPr>
          <w:bCs/>
        </w:rPr>
        <w:lastRenderedPageBreak/>
        <w:t xml:space="preserve">Educating the public on </w:t>
      </w:r>
      <w:r w:rsidR="00E86574">
        <w:rPr>
          <w:bCs/>
        </w:rPr>
        <w:t xml:space="preserve">the strength of </w:t>
      </w:r>
      <w:r w:rsidR="00970F87">
        <w:rPr>
          <w:bCs/>
        </w:rPr>
        <w:t xml:space="preserve">these </w:t>
      </w:r>
      <w:r w:rsidR="00E86574">
        <w:rPr>
          <w:bCs/>
        </w:rPr>
        <w:t xml:space="preserve">confidentiality </w:t>
      </w:r>
      <w:r w:rsidR="00970F87">
        <w:rPr>
          <w:bCs/>
        </w:rPr>
        <w:t>protections</w:t>
      </w:r>
      <w:r w:rsidR="00E86574">
        <w:rPr>
          <w:bCs/>
        </w:rPr>
        <w:t xml:space="preserve"> can work in tandem with </w:t>
      </w:r>
      <w:r w:rsidR="00A7743D">
        <w:rPr>
          <w:bCs/>
        </w:rPr>
        <w:t xml:space="preserve">communications </w:t>
      </w:r>
      <w:r w:rsidR="00E86574">
        <w:rPr>
          <w:bCs/>
        </w:rPr>
        <w:t>about the real-world impacts that the census will have on every family and community in New York City</w:t>
      </w:r>
      <w:r w:rsidR="002472A2">
        <w:rPr>
          <w:bCs/>
        </w:rPr>
        <w:t>. Such a public message will help</w:t>
      </w:r>
      <w:r w:rsidR="00E86574">
        <w:rPr>
          <w:bCs/>
        </w:rPr>
        <w:t xml:space="preserve"> ensure that every person feels comfortable getting counted in 2020</w:t>
      </w:r>
      <w:r w:rsidR="000927EC">
        <w:rPr>
          <w:bCs/>
        </w:rPr>
        <w:t xml:space="preserve"> and motivated to do so</w:t>
      </w:r>
      <w:r w:rsidR="00E86574">
        <w:rPr>
          <w:bCs/>
        </w:rPr>
        <w:t>.</w:t>
      </w:r>
    </w:p>
    <w:p w14:paraId="72B2A263" w14:textId="77777777" w:rsidR="005C5BE2" w:rsidRDefault="005C5BE2" w:rsidP="006D1B29">
      <w:pPr>
        <w:adjustRightInd/>
        <w:spacing w:after="160"/>
        <w:contextualSpacing/>
        <w:rPr>
          <w:bCs/>
        </w:rPr>
      </w:pPr>
    </w:p>
    <w:p w14:paraId="1124FC31" w14:textId="1255BE6E" w:rsidR="009F0912" w:rsidRPr="006D1B29" w:rsidRDefault="009F0912" w:rsidP="006D1B29">
      <w:pPr>
        <w:adjustRightInd/>
        <w:spacing w:after="160"/>
        <w:contextualSpacing/>
        <w:rPr>
          <w:bCs/>
        </w:rPr>
      </w:pPr>
      <w:r>
        <w:rPr>
          <w:bCs/>
        </w:rPr>
        <w:t xml:space="preserve">Thank you </w:t>
      </w:r>
      <w:r w:rsidR="006A4F83">
        <w:rPr>
          <w:bCs/>
        </w:rPr>
        <w:t xml:space="preserve">so much </w:t>
      </w:r>
      <w:r>
        <w:rPr>
          <w:bCs/>
        </w:rPr>
        <w:t>for the opportunity to testify today. I am happy to answer any questions.</w:t>
      </w:r>
    </w:p>
    <w:sectPr w:rsidR="009F0912" w:rsidRPr="006D1B29" w:rsidSect="00DC13B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2088" w:left="1440" w:header="1080" w:footer="9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3C7E" w14:textId="77777777" w:rsidR="00FB0443" w:rsidRPr="00AE3FE0" w:rsidRDefault="00FB0443" w:rsidP="00AE3FE0">
      <w:r w:rsidRPr="00AE3FE0">
        <w:continuationSeparator/>
      </w:r>
    </w:p>
  </w:endnote>
  <w:endnote w:type="continuationSeparator" w:id="0">
    <w:p w14:paraId="097AEFCC" w14:textId="77777777" w:rsidR="00FB0443" w:rsidRDefault="00FB0443" w:rsidP="008304AC">
      <w:r>
        <w:continuationSeparator/>
      </w:r>
    </w:p>
  </w:endnote>
  <w:endnote w:type="continuationNotice" w:id="1">
    <w:p w14:paraId="6AFDE511" w14:textId="77777777" w:rsidR="00FB0443" w:rsidRDefault="00FB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ight">
    <w:altName w:val="Times New Roman"/>
    <w:panose1 w:val="00000000000000000000"/>
    <w:charset w:val="00"/>
    <w:family w:val="auto"/>
    <w:pitch w:val="variable"/>
    <w:sig w:usb0="E00002FF" w:usb1="5000205B" w:usb2="00000020" w:usb3="00000000" w:csb0="0000019F" w:csb1="00000000"/>
  </w:font>
  <w:font w:name="Spectral Light">
    <w:altName w:val="Calibri Light"/>
    <w:charset w:val="4D"/>
    <w:family w:val="roman"/>
    <w:pitch w:val="variable"/>
    <w:sig w:usb0="E000027F" w:usb1="4000E43B" w:usb2="00000000" w:usb3="00000000" w:csb0="00000197" w:csb1="00000000"/>
  </w:font>
  <w:font w:name="Editor">
    <w:altName w:val="Calibri"/>
    <w:charset w:val="00"/>
    <w:family w:val="auto"/>
    <w:pitch w:val="variable"/>
    <w:sig w:usb0="A00000AF" w:usb1="5000604B" w:usb2="00000000" w:usb3="00000000" w:csb0="00000093" w:csb1="00000000"/>
  </w:font>
  <w:font w:name="BentonSans Book">
    <w:charset w:val="00"/>
    <w:family w:val="auto"/>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30D1" w14:textId="77777777" w:rsidR="00DA309F" w:rsidRDefault="00DA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3B6C" w14:textId="77777777" w:rsidR="00737334" w:rsidRPr="005C2418" w:rsidRDefault="005C2418" w:rsidP="001109A8">
    <w:pPr>
      <w:pStyle w:val="Footer"/>
      <w:rPr>
        <w:sz w:val="16"/>
        <w:szCs w:val="16"/>
      </w:rPr>
    </w:pPr>
    <w:r w:rsidRPr="005C2418">
      <w:rPr>
        <w:sz w:val="16"/>
        <w:szCs w:val="16"/>
      </w:rPr>
      <w:t xml:space="preserve">Page </w:t>
    </w:r>
    <w:r w:rsidR="001109A8" w:rsidRPr="005C2418">
      <w:rPr>
        <w:sz w:val="16"/>
        <w:szCs w:val="16"/>
      </w:rPr>
      <w:fldChar w:fldCharType="begin"/>
    </w:r>
    <w:r w:rsidR="001109A8" w:rsidRPr="005C2418">
      <w:rPr>
        <w:sz w:val="16"/>
        <w:szCs w:val="16"/>
      </w:rPr>
      <w:instrText xml:space="preserve"> PAGE </w:instrText>
    </w:r>
    <w:r w:rsidR="001109A8" w:rsidRPr="005C2418">
      <w:rPr>
        <w:sz w:val="16"/>
        <w:szCs w:val="16"/>
      </w:rPr>
      <w:fldChar w:fldCharType="separate"/>
    </w:r>
    <w:r w:rsidR="009C0942">
      <w:rPr>
        <w:noProof/>
        <w:sz w:val="16"/>
        <w:szCs w:val="16"/>
      </w:rPr>
      <w:t>4</w:t>
    </w:r>
    <w:r w:rsidR="001109A8" w:rsidRPr="005C241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4E43" w14:textId="77777777" w:rsidR="00737334" w:rsidRPr="00080D91" w:rsidRDefault="00923326" w:rsidP="00080D91">
    <w:pPr>
      <w:pStyle w:val="Footer"/>
    </w:pPr>
    <w:r w:rsidRPr="00923326">
      <w:rPr>
        <w:noProof/>
      </w:rPr>
      <w:drawing>
        <wp:anchor distT="0" distB="0" distL="114300" distR="114300" simplePos="0" relativeHeight="251673600" behindDoc="1" locked="0" layoutInCell="1" allowOverlap="1" wp14:anchorId="3C61CBF2" wp14:editId="0ED9D0EB">
          <wp:simplePos x="0" y="0"/>
          <wp:positionH relativeFrom="page">
            <wp:align>left</wp:align>
          </wp:positionH>
          <wp:positionV relativeFrom="page">
            <wp:align>bottom</wp:align>
          </wp:positionV>
          <wp:extent cx="7799832" cy="1133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9832" cy="11338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0C71" w14:textId="77777777" w:rsidR="00FB0443" w:rsidRPr="00854A5D" w:rsidRDefault="00FB0443" w:rsidP="008304AC">
      <w:pPr>
        <w:rPr>
          <w:color w:val="ED1C24"/>
        </w:rPr>
      </w:pPr>
      <w:r>
        <w:separator/>
      </w:r>
    </w:p>
  </w:footnote>
  <w:footnote w:type="continuationSeparator" w:id="0">
    <w:p w14:paraId="481173EF" w14:textId="77777777" w:rsidR="00FB0443" w:rsidRPr="00854A5D" w:rsidRDefault="00FB0443" w:rsidP="00854A5D">
      <w:pPr>
        <w:rPr>
          <w:color w:val="ED1C24"/>
        </w:rPr>
      </w:pPr>
      <w:r w:rsidRPr="00854A5D">
        <w:rPr>
          <w:color w:val="ED1C24"/>
        </w:rPr>
        <w:separator/>
      </w:r>
    </w:p>
  </w:footnote>
  <w:footnote w:id="1">
    <w:p w14:paraId="0E5435A2" w14:textId="747BAC65" w:rsidR="00CB370C" w:rsidRPr="00A83077" w:rsidRDefault="00CB370C" w:rsidP="00CB370C">
      <w:pPr>
        <w:pStyle w:val="FootnoteText"/>
        <w:contextualSpacing/>
      </w:pPr>
      <w:r>
        <w:rPr>
          <w:rStyle w:val="FootnoteReference"/>
        </w:rPr>
        <w:footnoteRef/>
      </w:r>
      <w:r>
        <w:t xml:space="preserve"> </w:t>
      </w:r>
      <w:r>
        <w:rPr>
          <w:i/>
          <w:iCs/>
        </w:rPr>
        <w:t xml:space="preserve">See </w:t>
      </w:r>
      <w:r>
        <w:t xml:space="preserve">U.S. Census Bureau, 2020 Census Barriers, Attitudes, and Motivators Study Survey Report (Jan. 24, 2019), 39, </w:t>
      </w:r>
      <w:r w:rsidR="002660B1">
        <w:t xml:space="preserve">43, </w:t>
      </w:r>
      <w:hyperlink r:id="rId1" w:history="1">
        <w:r w:rsidR="002660B1" w:rsidRPr="002660B1">
          <w:rPr>
            <w:rStyle w:val="Hyperlink"/>
          </w:rPr>
          <w:t>https://www2.census.gov/programs-surveys/decennial/2020/program-management/final-analysis-reports/2020-report-cbams-study-survey.pdf</w:t>
        </w:r>
      </w:hyperlink>
      <w:r>
        <w:t xml:space="preserve"> </w:t>
      </w:r>
    </w:p>
  </w:footnote>
  <w:footnote w:id="2">
    <w:p w14:paraId="6F0B15B7" w14:textId="77777777" w:rsidR="00130A34" w:rsidRPr="00A55358" w:rsidRDefault="00130A34" w:rsidP="00130A34">
      <w:pPr>
        <w:pStyle w:val="FootnoteText"/>
        <w:contextualSpacing/>
        <w:rPr>
          <w:i/>
          <w:iCs/>
        </w:rPr>
      </w:pPr>
      <w:r>
        <w:rPr>
          <w:rStyle w:val="FootnoteReference"/>
        </w:rPr>
        <w:footnoteRef/>
      </w:r>
      <w:r>
        <w:t xml:space="preserve"> </w:t>
      </w:r>
      <w:r>
        <w:rPr>
          <w:i/>
          <w:iCs/>
        </w:rPr>
        <w:t xml:space="preserve">See </w:t>
      </w:r>
      <w:r>
        <w:t xml:space="preserve">D’Vera Cohn &amp; Anna Brown, </w:t>
      </w:r>
      <w:r>
        <w:rPr>
          <w:i/>
          <w:iCs/>
        </w:rPr>
        <w:t>Most U.S. adults intend to participate in 2020 census, but some demographic groups aren’t sure</w:t>
      </w:r>
      <w:r>
        <w:t xml:space="preserve">, </w:t>
      </w:r>
      <w:r w:rsidRPr="00A55358">
        <w:rPr>
          <w:smallCaps/>
        </w:rPr>
        <w:t>Pew Research Ctr.</w:t>
      </w:r>
      <w:r>
        <w:rPr>
          <w:smallCaps/>
        </w:rPr>
        <w:t>,</w:t>
      </w:r>
      <w:r>
        <w:t xml:space="preserve"> (Oct. 18, 2019), </w:t>
      </w:r>
      <w:hyperlink r:id="rId2" w:history="1">
        <w:r w:rsidRPr="00A55358">
          <w:rPr>
            <w:rStyle w:val="Hyperlink"/>
          </w:rPr>
          <w:t>https://www.pewresearch.org/fact-tank/2019/10/18/most-u-s-adults-intend-to-participate-in-2020-census/</w:t>
        </w:r>
      </w:hyperlink>
      <w:r>
        <w:t xml:space="preserve"> (finding 26% of black adults and 21% of Hispanic adults unlikely to respond to the census, compared to just 12% of white adults).</w:t>
      </w:r>
    </w:p>
  </w:footnote>
  <w:footnote w:id="3">
    <w:p w14:paraId="4C9A5164" w14:textId="7519AEE5" w:rsidR="00513739" w:rsidRPr="00513739" w:rsidRDefault="00513739">
      <w:pPr>
        <w:pStyle w:val="FootnoteText"/>
        <w:contextualSpacing/>
      </w:pPr>
      <w:r>
        <w:rPr>
          <w:rStyle w:val="FootnoteReference"/>
        </w:rPr>
        <w:footnoteRef/>
      </w:r>
      <w:r>
        <w:t xml:space="preserve"> </w:t>
      </w:r>
      <w:r>
        <w:rPr>
          <w:i/>
          <w:iCs/>
        </w:rPr>
        <w:t xml:space="preserve">See </w:t>
      </w:r>
      <w:r>
        <w:t xml:space="preserve">CBAMS, </w:t>
      </w:r>
      <w:r>
        <w:rPr>
          <w:i/>
          <w:iCs/>
        </w:rPr>
        <w:t>supra</w:t>
      </w:r>
      <w:r>
        <w:t>, note 1, at 40.</w:t>
      </w:r>
    </w:p>
  </w:footnote>
  <w:footnote w:id="4">
    <w:p w14:paraId="6D4305CE" w14:textId="77777777" w:rsidR="00E86574" w:rsidRDefault="00E86574" w:rsidP="00E86574">
      <w:pPr>
        <w:pStyle w:val="FootnoteText"/>
        <w:contextualSpacing/>
      </w:pPr>
      <w:r>
        <w:rPr>
          <w:rStyle w:val="FootnoteReference"/>
        </w:rPr>
        <w:footnoteRef/>
      </w:r>
      <w:r>
        <w:t xml:space="preserve"> Exec. Order No. 13,880, 84 Fed. Reg. 33,821 (July 11, 2019).</w:t>
      </w:r>
    </w:p>
  </w:footnote>
  <w:footnote w:id="5">
    <w:p w14:paraId="0763F5C3" w14:textId="7D50DC07" w:rsidR="006A4F83" w:rsidRDefault="006A4F83" w:rsidP="006A4F83">
      <w:pPr>
        <w:pStyle w:val="FootnoteText"/>
        <w:contextualSpacing/>
      </w:pPr>
      <w:r>
        <w:rPr>
          <w:rStyle w:val="FootnoteReference"/>
        </w:rPr>
        <w:footnoteRef/>
      </w:r>
      <w:r>
        <w:t xml:space="preserve"> 13 U.S.C. § 9</w:t>
      </w:r>
      <w:r w:rsidR="00BE63E2">
        <w:t>(a)(2)</w:t>
      </w:r>
      <w:r>
        <w:t>.</w:t>
      </w:r>
    </w:p>
  </w:footnote>
  <w:footnote w:id="6">
    <w:p w14:paraId="59DF751D" w14:textId="7FE8C28B" w:rsidR="006A4F83" w:rsidRDefault="006A4F83" w:rsidP="006A4F83">
      <w:pPr>
        <w:pStyle w:val="FootnoteText"/>
        <w:contextualSpacing/>
      </w:pPr>
      <w:r>
        <w:rPr>
          <w:rStyle w:val="FootnoteReference"/>
        </w:rPr>
        <w:footnoteRef/>
      </w:r>
      <w:r>
        <w:t xml:space="preserve"> 13 U.S.C. § </w:t>
      </w:r>
      <w:r w:rsidR="00BE63E2">
        <w:t>9(a)(1)</w:t>
      </w:r>
      <w:r>
        <w:t>.</w:t>
      </w:r>
    </w:p>
  </w:footnote>
  <w:footnote w:id="7">
    <w:p w14:paraId="65A9CAA9" w14:textId="77777777" w:rsidR="00BB76E0" w:rsidRDefault="00BB76E0" w:rsidP="00BB76E0">
      <w:pPr>
        <w:pStyle w:val="FootnoteText"/>
        <w:contextualSpacing/>
      </w:pPr>
      <w:r>
        <w:rPr>
          <w:rStyle w:val="FootnoteReference"/>
        </w:rPr>
        <w:footnoteRef/>
      </w:r>
      <w:r>
        <w:t xml:space="preserve"> 13 U.S.C. § 9(a)(3).</w:t>
      </w:r>
    </w:p>
  </w:footnote>
  <w:footnote w:id="8">
    <w:p w14:paraId="565F66BB" w14:textId="0C82E22B" w:rsidR="00BB76E0" w:rsidRDefault="00BB76E0">
      <w:pPr>
        <w:pStyle w:val="FootnoteText"/>
        <w:contextualSpacing/>
      </w:pPr>
      <w:r>
        <w:rPr>
          <w:rStyle w:val="FootnoteReference"/>
        </w:rPr>
        <w:footnoteRef/>
      </w:r>
      <w:r>
        <w:t xml:space="preserve"> 13 U.S.C. § 214; 18 U.S.C. §§ 3559, 3571.</w:t>
      </w:r>
    </w:p>
  </w:footnote>
  <w:footnote w:id="9">
    <w:p w14:paraId="5B318777" w14:textId="797880E9" w:rsidR="00BB76E0" w:rsidRDefault="00BB76E0">
      <w:pPr>
        <w:pStyle w:val="FootnoteText"/>
        <w:contextualSpacing/>
      </w:pPr>
      <w:r>
        <w:rPr>
          <w:rStyle w:val="FootnoteReference"/>
        </w:rPr>
        <w:footnoteRef/>
      </w:r>
      <w:r>
        <w:t xml:space="preserve"> 13 U.S.C. § 8(c).</w:t>
      </w:r>
    </w:p>
  </w:footnote>
  <w:footnote w:id="10">
    <w:p w14:paraId="3B5F5B22" w14:textId="59E19945" w:rsidR="006A4F83" w:rsidRDefault="006A4F83">
      <w:pPr>
        <w:pStyle w:val="FootnoteText"/>
        <w:contextualSpacing/>
      </w:pPr>
      <w:r>
        <w:rPr>
          <w:rStyle w:val="FootnoteReference"/>
        </w:rPr>
        <w:footnoteRef/>
      </w:r>
      <w:r>
        <w:t xml:space="preserve"> </w:t>
      </w:r>
      <w:r w:rsidR="00CE7602">
        <w:rPr>
          <w:i/>
          <w:iCs/>
        </w:rPr>
        <w:t xml:space="preserve">See </w:t>
      </w:r>
      <w:r>
        <w:rPr>
          <w:sz w:val="20"/>
        </w:rPr>
        <w:t xml:space="preserve">Census Bureau, </w:t>
      </w:r>
      <w:r>
        <w:rPr>
          <w:rStyle w:val="highlight"/>
          <w:sz w:val="20"/>
        </w:rPr>
        <w:t>DS007</w:t>
      </w:r>
      <w:r>
        <w:rPr>
          <w:sz w:val="20"/>
        </w:rPr>
        <w:t xml:space="preserve">: Safeguarding and Managing Information 5 (2017), 5, </w:t>
      </w:r>
      <w:hyperlink r:id="rId3" w:history="1">
        <w:r w:rsidR="002660B1" w:rsidRPr="00384A6E">
          <w:rPr>
            <w:rStyle w:val="Hyperlink"/>
            <w:rFonts w:ascii="Times New Roman" w:hAnsi="Times New Roman"/>
          </w:rPr>
          <w:t>https://www2.census.gov/foia/ds_policies/ds007.pdf</w:t>
        </w:r>
      </w:hyperlink>
      <w:r w:rsidR="002660B1" w:rsidRPr="002660B1">
        <w:t>?</w:t>
      </w:r>
      <w:r w:rsidR="002660B1">
        <w:rPr>
          <w:sz w:val="20"/>
        </w:rPr>
        <w:t xml:space="preserve">. </w:t>
      </w:r>
      <w:r>
        <w:rPr>
          <w:sz w:val="20"/>
        </w:rPr>
        <w:t xml:space="preserve"> </w:t>
      </w:r>
    </w:p>
  </w:footnote>
  <w:footnote w:id="11">
    <w:p w14:paraId="6B885EEB" w14:textId="1A5E9923" w:rsidR="00CE7602" w:rsidRPr="00CE7602" w:rsidRDefault="00CE7602">
      <w:pPr>
        <w:pStyle w:val="FootnoteText"/>
        <w:contextualSpacing/>
      </w:pPr>
      <w:r>
        <w:rPr>
          <w:rStyle w:val="FootnoteReference"/>
        </w:rPr>
        <w:footnoteRef/>
      </w:r>
      <w:r>
        <w:t xml:space="preserve"> </w:t>
      </w:r>
      <w:r>
        <w:rPr>
          <w:i/>
          <w:iCs/>
        </w:rPr>
        <w:t xml:space="preserve">See </w:t>
      </w:r>
      <w:r w:rsidR="00BE63E2">
        <w:t xml:space="preserve">John M. Abowd, </w:t>
      </w:r>
      <w:r>
        <w:t>Census Bureau Citizenship Data Research and Product Develop</w:t>
      </w:r>
      <w:r w:rsidR="00BE63E2">
        <w:t xml:space="preserve">ment, (Sept. 6, 2019), 25, </w:t>
      </w:r>
      <w:hyperlink r:id="rId4" w:history="1">
        <w:r w:rsidR="00BE63E2" w:rsidRPr="00F536E1">
          <w:rPr>
            <w:rStyle w:val="Hyperlink"/>
            <w:rFonts w:ascii="Times New Roman" w:hAnsi="Times New Roman"/>
          </w:rPr>
          <w:t>https://assets.documentcloud.org/documents/6386176/Census-Bureau-Citizenship-Data-Research-and.pdf</w:t>
        </w:r>
      </w:hyperlink>
      <w:r w:rsidR="00BE63E2">
        <w:t xml:space="preserve"> (“As with all administrative data ingested by the Census Bureau, the citizenship data will be used only for statistical purposes. As with all administrative data ingested by the Census Bureau, the confidentiality of the citizenship data will be fully protected by Title 13, Section 9</w:t>
      </w:r>
      <w:r w:rsidR="00031CA5">
        <w:t>…</w:t>
      </w:r>
      <w:r w:rsidR="000618B9">
        <w:t>.”).</w:t>
      </w:r>
    </w:p>
  </w:footnote>
  <w:footnote w:id="12">
    <w:p w14:paraId="33F4CB33" w14:textId="269D20B2" w:rsidR="00BB76E0" w:rsidRPr="00BB76E0" w:rsidRDefault="00BB76E0">
      <w:pPr>
        <w:pStyle w:val="FootnoteText"/>
        <w:contextualSpacing/>
      </w:pPr>
      <w:r>
        <w:rPr>
          <w:rStyle w:val="FootnoteReference"/>
        </w:rPr>
        <w:footnoteRef/>
      </w:r>
      <w:r>
        <w:t xml:space="preserve"> </w:t>
      </w:r>
      <w:r>
        <w:rPr>
          <w:i/>
          <w:iCs/>
        </w:rPr>
        <w:t xml:space="preserve">See </w:t>
      </w:r>
      <w:r>
        <w:t xml:space="preserve">Kelly Percival, </w:t>
      </w:r>
      <w:r w:rsidRPr="003A4500">
        <w:rPr>
          <w:i/>
          <w:iCs/>
        </w:rPr>
        <w:t>Federal Laws that Protect Census Confidentiality</w:t>
      </w:r>
      <w:r w:rsidR="003A4500">
        <w:t xml:space="preserve">, The Brennan Center for Justice at NYU School of Law, (Feb. 2019), </w:t>
      </w:r>
      <w:hyperlink r:id="rId5" w:history="1">
        <w:r w:rsidR="003A4500" w:rsidRPr="00F536E1">
          <w:rPr>
            <w:rStyle w:val="Hyperlink"/>
            <w:rFonts w:ascii="Times New Roman" w:hAnsi="Times New Roman"/>
          </w:rPr>
          <w:t>https://www.brennancenter.org/sites/default/files/2019-08/Report_Federal_Laws_Census_Confidentiality.pdf</w:t>
        </w:r>
      </w:hyperlink>
      <w:r w:rsidR="003A45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6499" w14:textId="77777777" w:rsidR="00DA309F" w:rsidRDefault="00DA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BA40" w14:textId="77777777" w:rsidR="00DA309F" w:rsidRDefault="00DA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AB3D" w14:textId="77777777" w:rsidR="008C4C88" w:rsidRDefault="008C4C88" w:rsidP="008C4C88">
    <w:pPr>
      <w:pStyle w:val="Header"/>
    </w:pPr>
    <w:r w:rsidRPr="008C4C88">
      <w:rPr>
        <w:noProof/>
      </w:rPr>
      <w:drawing>
        <wp:anchor distT="0" distB="0" distL="114300" distR="114300" simplePos="0" relativeHeight="251674624" behindDoc="1" locked="1" layoutInCell="1" allowOverlap="1" wp14:anchorId="4B90BF1F" wp14:editId="0B00E51A">
          <wp:simplePos x="0" y="0"/>
          <wp:positionH relativeFrom="page">
            <wp:align>left</wp:align>
          </wp:positionH>
          <wp:positionV relativeFrom="page">
            <wp:align>top</wp:align>
          </wp:positionV>
          <wp:extent cx="7744968" cy="19110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4968" cy="1911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D81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52B3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0441B3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06EF8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D090B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7413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A0AA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3526D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B4D3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9CF5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4CC7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AF0558"/>
    <w:multiLevelType w:val="hybridMultilevel"/>
    <w:tmpl w:val="74DC7F56"/>
    <w:lvl w:ilvl="0" w:tplc="2FFE8118">
      <w:start w:val="1"/>
      <w:numFmt w:val="decimal"/>
      <w:lvlText w:val="%1    "/>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41"/>
    <w:rsid w:val="00001916"/>
    <w:rsid w:val="000121E7"/>
    <w:rsid w:val="00016AEC"/>
    <w:rsid w:val="00031CA5"/>
    <w:rsid w:val="00034813"/>
    <w:rsid w:val="00037088"/>
    <w:rsid w:val="000618B9"/>
    <w:rsid w:val="00065D78"/>
    <w:rsid w:val="000709CE"/>
    <w:rsid w:val="00070C69"/>
    <w:rsid w:val="000729CD"/>
    <w:rsid w:val="00077A29"/>
    <w:rsid w:val="00080D91"/>
    <w:rsid w:val="00091C8E"/>
    <w:rsid w:val="000927EC"/>
    <w:rsid w:val="000A0D80"/>
    <w:rsid w:val="000B63E8"/>
    <w:rsid w:val="000C2A87"/>
    <w:rsid w:val="000D4E17"/>
    <w:rsid w:val="000E33F6"/>
    <w:rsid w:val="001109A8"/>
    <w:rsid w:val="00130A34"/>
    <w:rsid w:val="00167A9F"/>
    <w:rsid w:val="001C2434"/>
    <w:rsid w:val="001C3558"/>
    <w:rsid w:val="001D4E90"/>
    <w:rsid w:val="001E5A5E"/>
    <w:rsid w:val="001E6DA5"/>
    <w:rsid w:val="001F42FB"/>
    <w:rsid w:val="00214034"/>
    <w:rsid w:val="00217D51"/>
    <w:rsid w:val="0023170F"/>
    <w:rsid w:val="002472A2"/>
    <w:rsid w:val="002660B1"/>
    <w:rsid w:val="00282641"/>
    <w:rsid w:val="00290B59"/>
    <w:rsid w:val="002C01A0"/>
    <w:rsid w:val="00352E8A"/>
    <w:rsid w:val="00354280"/>
    <w:rsid w:val="0039055C"/>
    <w:rsid w:val="003A4500"/>
    <w:rsid w:val="003B1E41"/>
    <w:rsid w:val="003D44ED"/>
    <w:rsid w:val="003E010C"/>
    <w:rsid w:val="003F7DA6"/>
    <w:rsid w:val="004845CC"/>
    <w:rsid w:val="00486A60"/>
    <w:rsid w:val="00487072"/>
    <w:rsid w:val="0049167F"/>
    <w:rsid w:val="004950E1"/>
    <w:rsid w:val="004A07C7"/>
    <w:rsid w:val="004B17D5"/>
    <w:rsid w:val="004B528A"/>
    <w:rsid w:val="004D23E5"/>
    <w:rsid w:val="004F45D8"/>
    <w:rsid w:val="00503E7D"/>
    <w:rsid w:val="00513739"/>
    <w:rsid w:val="005203CA"/>
    <w:rsid w:val="00560240"/>
    <w:rsid w:val="00583F9C"/>
    <w:rsid w:val="00584DAC"/>
    <w:rsid w:val="0058595B"/>
    <w:rsid w:val="005A1FA6"/>
    <w:rsid w:val="005B51AA"/>
    <w:rsid w:val="005C2418"/>
    <w:rsid w:val="005C5BE2"/>
    <w:rsid w:val="005E011C"/>
    <w:rsid w:val="005E7782"/>
    <w:rsid w:val="00610892"/>
    <w:rsid w:val="00652CCA"/>
    <w:rsid w:val="00656952"/>
    <w:rsid w:val="006A4F83"/>
    <w:rsid w:val="006C367F"/>
    <w:rsid w:val="006D1B29"/>
    <w:rsid w:val="006F6D65"/>
    <w:rsid w:val="00706114"/>
    <w:rsid w:val="00733979"/>
    <w:rsid w:val="00737334"/>
    <w:rsid w:val="00746B0E"/>
    <w:rsid w:val="00752463"/>
    <w:rsid w:val="00771556"/>
    <w:rsid w:val="00780B8B"/>
    <w:rsid w:val="00783583"/>
    <w:rsid w:val="00785911"/>
    <w:rsid w:val="00806B70"/>
    <w:rsid w:val="008110A7"/>
    <w:rsid w:val="00825227"/>
    <w:rsid w:val="008304AC"/>
    <w:rsid w:val="00846388"/>
    <w:rsid w:val="008529DB"/>
    <w:rsid w:val="00854A5D"/>
    <w:rsid w:val="00897B3F"/>
    <w:rsid w:val="008B4FDB"/>
    <w:rsid w:val="008B7FBB"/>
    <w:rsid w:val="008C4C88"/>
    <w:rsid w:val="008D4FCA"/>
    <w:rsid w:val="008F6F9C"/>
    <w:rsid w:val="009046D9"/>
    <w:rsid w:val="00914D2D"/>
    <w:rsid w:val="00923326"/>
    <w:rsid w:val="00933AE3"/>
    <w:rsid w:val="00951FE8"/>
    <w:rsid w:val="00970F87"/>
    <w:rsid w:val="00990138"/>
    <w:rsid w:val="009C0942"/>
    <w:rsid w:val="009C771E"/>
    <w:rsid w:val="009D17AC"/>
    <w:rsid w:val="009F0912"/>
    <w:rsid w:val="00A0755B"/>
    <w:rsid w:val="00A2781F"/>
    <w:rsid w:val="00A40550"/>
    <w:rsid w:val="00A7743D"/>
    <w:rsid w:val="00A835E4"/>
    <w:rsid w:val="00A86041"/>
    <w:rsid w:val="00AE3FE0"/>
    <w:rsid w:val="00AE76D6"/>
    <w:rsid w:val="00AF4335"/>
    <w:rsid w:val="00B003A7"/>
    <w:rsid w:val="00B06454"/>
    <w:rsid w:val="00B1453C"/>
    <w:rsid w:val="00B47199"/>
    <w:rsid w:val="00B9488E"/>
    <w:rsid w:val="00BA1233"/>
    <w:rsid w:val="00BA3344"/>
    <w:rsid w:val="00BB76E0"/>
    <w:rsid w:val="00BD7DF5"/>
    <w:rsid w:val="00BE63E2"/>
    <w:rsid w:val="00BE7E51"/>
    <w:rsid w:val="00C02341"/>
    <w:rsid w:val="00C12E58"/>
    <w:rsid w:val="00C34F5E"/>
    <w:rsid w:val="00C43C1D"/>
    <w:rsid w:val="00C44F2B"/>
    <w:rsid w:val="00C46A6E"/>
    <w:rsid w:val="00C47BEF"/>
    <w:rsid w:val="00C5011F"/>
    <w:rsid w:val="00C63742"/>
    <w:rsid w:val="00C71D36"/>
    <w:rsid w:val="00C81C7B"/>
    <w:rsid w:val="00C81E96"/>
    <w:rsid w:val="00CB126F"/>
    <w:rsid w:val="00CB33E9"/>
    <w:rsid w:val="00CB370C"/>
    <w:rsid w:val="00CB5291"/>
    <w:rsid w:val="00CE48C0"/>
    <w:rsid w:val="00CE7602"/>
    <w:rsid w:val="00D449BB"/>
    <w:rsid w:val="00D4777A"/>
    <w:rsid w:val="00D545A1"/>
    <w:rsid w:val="00D618F9"/>
    <w:rsid w:val="00DA309F"/>
    <w:rsid w:val="00DC13B7"/>
    <w:rsid w:val="00DD78DC"/>
    <w:rsid w:val="00DF35A3"/>
    <w:rsid w:val="00E14744"/>
    <w:rsid w:val="00E4542A"/>
    <w:rsid w:val="00E86574"/>
    <w:rsid w:val="00EA5AF0"/>
    <w:rsid w:val="00EF2AB9"/>
    <w:rsid w:val="00F06659"/>
    <w:rsid w:val="00F2614E"/>
    <w:rsid w:val="00F36E59"/>
    <w:rsid w:val="00F42380"/>
    <w:rsid w:val="00F572F3"/>
    <w:rsid w:val="00F6473D"/>
    <w:rsid w:val="00F937A9"/>
    <w:rsid w:val="00FB0443"/>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702AF"/>
  <w15:chartTrackingRefBased/>
  <w15:docId w15:val="{4B244A00-BC78-487A-8E6C-CF6B653D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CB126F"/>
    <w:pPr>
      <w:adjustRightInd w:val="0"/>
      <w:spacing w:after="0" w:line="240" w:lineRule="auto"/>
    </w:pPr>
    <w:rPr>
      <w:rFonts w:ascii="Times New Roman" w:hAnsi="Times New Roman"/>
      <w:color w:val="000000" w:themeColor="text1"/>
      <w:sz w:val="24"/>
    </w:rPr>
  </w:style>
  <w:style w:type="paragraph" w:styleId="Heading4">
    <w:name w:val="heading 4"/>
    <w:basedOn w:val="Normal"/>
    <w:link w:val="Heading4Char"/>
    <w:uiPriority w:val="9"/>
    <w:qFormat/>
    <w:rsid w:val="009F0912"/>
    <w:pPr>
      <w:adjustRightInd/>
      <w:spacing w:before="100" w:beforeAutospacing="1" w:after="100" w:afterAutospacing="1"/>
      <w:outlineLvl w:val="3"/>
    </w:pPr>
    <w:rPr>
      <w:rFonts w:eastAsia="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E6DA5"/>
    <w:rPr>
      <w:rFonts w:ascii="Roboto Light" w:hAnsi="Roboto Light"/>
      <w:b w:val="0"/>
      <w:i w:val="0"/>
      <w:color w:val="2873AE"/>
      <w:sz w:val="18"/>
      <w:u w:val="single"/>
    </w:rPr>
  </w:style>
  <w:style w:type="paragraph" w:styleId="Header">
    <w:name w:val="header"/>
    <w:basedOn w:val="Normal"/>
    <w:link w:val="HeaderChar"/>
    <w:uiPriority w:val="99"/>
    <w:unhideWhenUsed/>
    <w:qFormat/>
    <w:rsid w:val="00167A9F"/>
    <w:pPr>
      <w:tabs>
        <w:tab w:val="center" w:pos="4680"/>
        <w:tab w:val="right" w:pos="9360"/>
      </w:tabs>
    </w:pPr>
  </w:style>
  <w:style w:type="character" w:customStyle="1" w:styleId="HeaderChar">
    <w:name w:val="Header Char"/>
    <w:basedOn w:val="DefaultParagraphFont"/>
    <w:link w:val="Header"/>
    <w:uiPriority w:val="99"/>
    <w:rsid w:val="00167A9F"/>
    <w:rPr>
      <w:rFonts w:ascii="Spectral Light" w:hAnsi="Spectral Light"/>
      <w:color w:val="000000" w:themeColor="text1"/>
    </w:rPr>
  </w:style>
  <w:style w:type="paragraph" w:styleId="Footer">
    <w:name w:val="footer"/>
    <w:basedOn w:val="Normal"/>
    <w:link w:val="FooterChar"/>
    <w:uiPriority w:val="99"/>
    <w:unhideWhenUsed/>
    <w:qFormat/>
    <w:rsid w:val="00CB33E9"/>
    <w:pPr>
      <w:jc w:val="center"/>
    </w:pPr>
    <w:rPr>
      <w:b/>
      <w:sz w:val="18"/>
    </w:rPr>
  </w:style>
  <w:style w:type="character" w:customStyle="1" w:styleId="FooterChar">
    <w:name w:val="Footer Char"/>
    <w:basedOn w:val="DefaultParagraphFont"/>
    <w:link w:val="Footer"/>
    <w:uiPriority w:val="99"/>
    <w:rsid w:val="00CB33E9"/>
    <w:rPr>
      <w:rFonts w:ascii="Spectral Light" w:hAnsi="Spectral Light"/>
      <w:b/>
      <w:color w:val="000000" w:themeColor="text1"/>
      <w:sz w:val="18"/>
    </w:rPr>
  </w:style>
  <w:style w:type="paragraph" w:styleId="NormalWeb">
    <w:name w:val="Normal (Web)"/>
    <w:basedOn w:val="Normal"/>
    <w:uiPriority w:val="99"/>
    <w:unhideWhenUsed/>
    <w:rsid w:val="002C01A0"/>
    <w:pPr>
      <w:spacing w:before="100" w:beforeAutospacing="1" w:after="100" w:afterAutospacing="1"/>
    </w:pPr>
    <w:rPr>
      <w:rFonts w:eastAsia="Times New Roman" w:cs="Times New Roman"/>
      <w:color w:val="auto"/>
      <w:szCs w:val="24"/>
    </w:rPr>
  </w:style>
  <w:style w:type="character" w:styleId="FollowedHyperlink">
    <w:name w:val="FollowedHyperlink"/>
    <w:basedOn w:val="DefaultParagraphFont"/>
    <w:uiPriority w:val="99"/>
    <w:semiHidden/>
    <w:unhideWhenUsed/>
    <w:rsid w:val="00A2781F"/>
    <w:rPr>
      <w:rFonts w:ascii="Roboto Light" w:hAnsi="Roboto Light"/>
      <w:b w:val="0"/>
      <w:i w:val="0"/>
      <w:color w:val="2873AE"/>
      <w:sz w:val="18"/>
      <w:u w:val="single"/>
    </w:rPr>
  </w:style>
  <w:style w:type="paragraph" w:styleId="NoSpacing">
    <w:name w:val="No Spacing"/>
    <w:uiPriority w:val="1"/>
    <w:qFormat/>
    <w:rsid w:val="001F42FB"/>
    <w:pPr>
      <w:spacing w:after="0" w:line="240" w:lineRule="auto"/>
      <w:ind w:left="1368" w:right="1368"/>
      <w:contextualSpacing/>
    </w:pPr>
    <w:rPr>
      <w:rFonts w:ascii="Editor" w:hAnsi="Editor"/>
      <w:color w:val="000000" w:themeColor="text1"/>
    </w:rPr>
  </w:style>
  <w:style w:type="character" w:styleId="PageNumber">
    <w:name w:val="page number"/>
    <w:basedOn w:val="DefaultParagraphFont"/>
    <w:uiPriority w:val="99"/>
    <w:semiHidden/>
    <w:unhideWhenUsed/>
    <w:rsid w:val="00354280"/>
    <w:rPr>
      <w:rFonts w:ascii="BentonSans Book" w:hAnsi="BentonSans Book"/>
      <w:sz w:val="16"/>
    </w:rPr>
  </w:style>
  <w:style w:type="paragraph" w:styleId="EndnoteText">
    <w:name w:val="endnote text"/>
    <w:aliases w:val="BC Letter Endnote Text"/>
    <w:basedOn w:val="Normal"/>
    <w:link w:val="EndnoteTextChar"/>
    <w:uiPriority w:val="99"/>
    <w:unhideWhenUsed/>
    <w:qFormat/>
    <w:rsid w:val="001E6DA5"/>
    <w:pPr>
      <w:tabs>
        <w:tab w:val="left" w:pos="1584"/>
      </w:tabs>
    </w:pPr>
    <w:rPr>
      <w:rFonts w:ascii="Roboto Light" w:hAnsi="Roboto Light"/>
      <w:sz w:val="18"/>
      <w:szCs w:val="20"/>
    </w:rPr>
  </w:style>
  <w:style w:type="character" w:customStyle="1" w:styleId="EndnoteTextChar">
    <w:name w:val="Endnote Text Char"/>
    <w:aliases w:val="BC Letter Endnote Text Char"/>
    <w:basedOn w:val="DefaultParagraphFont"/>
    <w:link w:val="EndnoteText"/>
    <w:uiPriority w:val="99"/>
    <w:rsid w:val="001E6DA5"/>
    <w:rPr>
      <w:rFonts w:ascii="Roboto Light" w:hAnsi="Roboto Light" w:cs="Times New Roman (Body CS)"/>
      <w:color w:val="000000" w:themeColor="text1"/>
      <w:sz w:val="18"/>
      <w:szCs w:val="20"/>
    </w:rPr>
  </w:style>
  <w:style w:type="character" w:styleId="EndnoteReference">
    <w:name w:val="endnote reference"/>
    <w:aliases w:val="BC Letter Endnote Reference"/>
    <w:basedOn w:val="DefaultParagraphFont"/>
    <w:uiPriority w:val="99"/>
    <w:unhideWhenUsed/>
    <w:qFormat/>
    <w:rsid w:val="00DC13B7"/>
    <w:rPr>
      <w:rFonts w:ascii="Times New Roman" w:hAnsi="Times New Roman"/>
      <w:b/>
      <w:bCs/>
      <w:i w:val="0"/>
      <w:iCs w:val="0"/>
      <w:color w:val="000000" w:themeColor="text1"/>
      <w:sz w:val="18"/>
      <w:vertAlign w:val="superscript"/>
    </w:rPr>
  </w:style>
  <w:style w:type="character" w:customStyle="1" w:styleId="UnresolvedMention1">
    <w:name w:val="Unresolved Mention1"/>
    <w:basedOn w:val="DefaultParagraphFont"/>
    <w:uiPriority w:val="99"/>
    <w:semiHidden/>
    <w:unhideWhenUsed/>
    <w:rsid w:val="000D4E17"/>
    <w:rPr>
      <w:color w:val="605E5C"/>
      <w:shd w:val="clear" w:color="auto" w:fill="E1DFDD"/>
    </w:rPr>
  </w:style>
  <w:style w:type="paragraph" w:styleId="FootnoteText">
    <w:name w:val="footnote text"/>
    <w:basedOn w:val="Normal"/>
    <w:link w:val="FootnoteTextChar"/>
    <w:uiPriority w:val="99"/>
    <w:unhideWhenUsed/>
    <w:qFormat/>
    <w:rsid w:val="00DC13B7"/>
    <w:pPr>
      <w:tabs>
        <w:tab w:val="left" w:pos="360"/>
        <w:tab w:val="left" w:pos="720"/>
      </w:tabs>
      <w:spacing w:after="180"/>
      <w:ind w:left="360" w:hanging="360"/>
    </w:pPr>
    <w:rPr>
      <w:sz w:val="18"/>
      <w:szCs w:val="20"/>
    </w:rPr>
  </w:style>
  <w:style w:type="character" w:customStyle="1" w:styleId="FootnoteTextChar">
    <w:name w:val="Footnote Text Char"/>
    <w:basedOn w:val="DefaultParagraphFont"/>
    <w:link w:val="FootnoteText"/>
    <w:uiPriority w:val="99"/>
    <w:rsid w:val="00DC13B7"/>
    <w:rPr>
      <w:rFonts w:ascii="Times New Roman" w:hAnsi="Times New Roman"/>
      <w:color w:val="000000" w:themeColor="text1"/>
      <w:sz w:val="18"/>
      <w:szCs w:val="20"/>
    </w:rPr>
  </w:style>
  <w:style w:type="character" w:styleId="FootnoteReference">
    <w:name w:val="footnote reference"/>
    <w:basedOn w:val="DefaultParagraphFont"/>
    <w:uiPriority w:val="99"/>
    <w:semiHidden/>
    <w:unhideWhenUsed/>
    <w:rsid w:val="009C0942"/>
    <w:rPr>
      <w:rFonts w:ascii="Times New Roman" w:hAnsi="Times New Roman"/>
      <w:b/>
      <w:bCs/>
      <w:i w:val="0"/>
      <w:iCs w:val="0"/>
      <w:vertAlign w:val="superscript"/>
    </w:rPr>
  </w:style>
  <w:style w:type="paragraph" w:styleId="BalloonText">
    <w:name w:val="Balloon Text"/>
    <w:basedOn w:val="Normal"/>
    <w:link w:val="BalloonTextChar"/>
    <w:uiPriority w:val="99"/>
    <w:semiHidden/>
    <w:unhideWhenUsed/>
    <w:rsid w:val="00EF2AB9"/>
    <w:rPr>
      <w:rFonts w:cs="Times New Roman"/>
      <w:sz w:val="18"/>
      <w:szCs w:val="18"/>
    </w:rPr>
  </w:style>
  <w:style w:type="character" w:customStyle="1" w:styleId="BalloonTextChar">
    <w:name w:val="Balloon Text Char"/>
    <w:basedOn w:val="DefaultParagraphFont"/>
    <w:link w:val="BalloonText"/>
    <w:uiPriority w:val="99"/>
    <w:semiHidden/>
    <w:rsid w:val="00EF2AB9"/>
    <w:rPr>
      <w:rFonts w:ascii="Times New Roman" w:hAnsi="Times New Roman" w:cs="Times New Roman"/>
      <w:color w:val="000000" w:themeColor="text1"/>
      <w:sz w:val="18"/>
      <w:szCs w:val="18"/>
    </w:rPr>
  </w:style>
  <w:style w:type="paragraph" w:customStyle="1" w:styleId="EndnoteSeparator">
    <w:name w:val="Endnote Separator"/>
    <w:basedOn w:val="Normal"/>
    <w:qFormat/>
    <w:rsid w:val="00652CCA"/>
    <w:pPr>
      <w:jc w:val="both"/>
    </w:pPr>
    <w:rPr>
      <w:color w:val="FF0000"/>
    </w:rPr>
  </w:style>
  <w:style w:type="paragraph" w:styleId="BodyText">
    <w:name w:val="Body Text"/>
    <w:basedOn w:val="Normal"/>
    <w:link w:val="BodyTextChar"/>
    <w:uiPriority w:val="99"/>
    <w:semiHidden/>
    <w:unhideWhenUsed/>
    <w:rsid w:val="009046D9"/>
    <w:pPr>
      <w:spacing w:after="120"/>
    </w:pPr>
  </w:style>
  <w:style w:type="character" w:customStyle="1" w:styleId="BodyTextChar">
    <w:name w:val="Body Text Char"/>
    <w:basedOn w:val="DefaultParagraphFont"/>
    <w:link w:val="BodyText"/>
    <w:uiPriority w:val="99"/>
    <w:semiHidden/>
    <w:rsid w:val="009046D9"/>
    <w:rPr>
      <w:rFonts w:ascii="Spectral Light" w:hAnsi="Spectral Light"/>
      <w:color w:val="000000" w:themeColor="text1"/>
    </w:rPr>
  </w:style>
  <w:style w:type="paragraph" w:styleId="BodyTextFirstIndent">
    <w:name w:val="Body Text First Indent"/>
    <w:basedOn w:val="BodyText"/>
    <w:link w:val="BodyTextFirstIndentChar"/>
    <w:uiPriority w:val="99"/>
    <w:unhideWhenUsed/>
    <w:qFormat/>
    <w:rsid w:val="00933AE3"/>
    <w:pPr>
      <w:tabs>
        <w:tab w:val="left" w:pos="360"/>
        <w:tab w:val="left" w:pos="720"/>
        <w:tab w:val="left" w:pos="1080"/>
        <w:tab w:val="left" w:pos="1440"/>
      </w:tabs>
      <w:spacing w:after="240"/>
      <w:ind w:firstLine="360"/>
    </w:pPr>
  </w:style>
  <w:style w:type="character" w:customStyle="1" w:styleId="BodyTextFirstIndentChar">
    <w:name w:val="Body Text First Indent Char"/>
    <w:basedOn w:val="BodyTextChar"/>
    <w:link w:val="BodyTextFirstIndent"/>
    <w:uiPriority w:val="99"/>
    <w:rsid w:val="00933AE3"/>
    <w:rPr>
      <w:rFonts w:ascii="Spectral Light" w:hAnsi="Spectral Light"/>
      <w:color w:val="000000" w:themeColor="text1"/>
    </w:rPr>
  </w:style>
  <w:style w:type="character" w:customStyle="1" w:styleId="Heading4Char">
    <w:name w:val="Heading 4 Char"/>
    <w:basedOn w:val="DefaultParagraphFont"/>
    <w:link w:val="Heading4"/>
    <w:uiPriority w:val="9"/>
    <w:rsid w:val="009F0912"/>
    <w:rPr>
      <w:rFonts w:ascii="Times New Roman" w:eastAsia="Times New Roman" w:hAnsi="Times New Roman" w:cs="Times New Roman"/>
      <w:b/>
      <w:bCs/>
      <w:sz w:val="24"/>
      <w:szCs w:val="24"/>
    </w:rPr>
  </w:style>
  <w:style w:type="character" w:styleId="UnresolvedMention">
    <w:name w:val="Unresolved Mention"/>
    <w:basedOn w:val="DefaultParagraphFont"/>
    <w:uiPriority w:val="99"/>
    <w:rsid w:val="004F45D8"/>
    <w:rPr>
      <w:color w:val="605E5C"/>
      <w:shd w:val="clear" w:color="auto" w:fill="E1DFDD"/>
    </w:rPr>
  </w:style>
  <w:style w:type="character" w:customStyle="1" w:styleId="highlight">
    <w:name w:val="highlight"/>
    <w:basedOn w:val="DefaultParagraphFont"/>
    <w:rsid w:val="006A4F83"/>
  </w:style>
  <w:style w:type="character" w:styleId="CommentReference">
    <w:name w:val="annotation reference"/>
    <w:basedOn w:val="DefaultParagraphFont"/>
    <w:uiPriority w:val="99"/>
    <w:semiHidden/>
    <w:unhideWhenUsed/>
    <w:rsid w:val="003D44ED"/>
    <w:rPr>
      <w:sz w:val="16"/>
      <w:szCs w:val="16"/>
    </w:rPr>
  </w:style>
  <w:style w:type="paragraph" w:styleId="CommentText">
    <w:name w:val="annotation text"/>
    <w:basedOn w:val="Normal"/>
    <w:link w:val="CommentTextChar"/>
    <w:uiPriority w:val="99"/>
    <w:semiHidden/>
    <w:unhideWhenUsed/>
    <w:rsid w:val="003D44ED"/>
    <w:rPr>
      <w:sz w:val="20"/>
      <w:szCs w:val="20"/>
    </w:rPr>
  </w:style>
  <w:style w:type="character" w:customStyle="1" w:styleId="CommentTextChar">
    <w:name w:val="Comment Text Char"/>
    <w:basedOn w:val="DefaultParagraphFont"/>
    <w:link w:val="CommentText"/>
    <w:uiPriority w:val="99"/>
    <w:semiHidden/>
    <w:rsid w:val="003D44ED"/>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D44ED"/>
    <w:rPr>
      <w:b/>
      <w:bCs/>
    </w:rPr>
  </w:style>
  <w:style w:type="character" w:customStyle="1" w:styleId="CommentSubjectChar">
    <w:name w:val="Comment Subject Char"/>
    <w:basedOn w:val="CommentTextChar"/>
    <w:link w:val="CommentSubject"/>
    <w:uiPriority w:val="99"/>
    <w:semiHidden/>
    <w:rsid w:val="003D44ED"/>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9264">
      <w:bodyDiv w:val="1"/>
      <w:marLeft w:val="0"/>
      <w:marRight w:val="0"/>
      <w:marTop w:val="0"/>
      <w:marBottom w:val="0"/>
      <w:divBdr>
        <w:top w:val="none" w:sz="0" w:space="0" w:color="auto"/>
        <w:left w:val="none" w:sz="0" w:space="0" w:color="auto"/>
        <w:bottom w:val="none" w:sz="0" w:space="0" w:color="auto"/>
        <w:right w:val="none" w:sz="0" w:space="0" w:color="auto"/>
      </w:divBdr>
    </w:div>
    <w:div w:id="128524544">
      <w:bodyDiv w:val="1"/>
      <w:marLeft w:val="0"/>
      <w:marRight w:val="0"/>
      <w:marTop w:val="0"/>
      <w:marBottom w:val="0"/>
      <w:divBdr>
        <w:top w:val="none" w:sz="0" w:space="0" w:color="auto"/>
        <w:left w:val="none" w:sz="0" w:space="0" w:color="auto"/>
        <w:bottom w:val="none" w:sz="0" w:space="0" w:color="auto"/>
        <w:right w:val="none" w:sz="0" w:space="0" w:color="auto"/>
      </w:divBdr>
    </w:div>
    <w:div w:id="327294971">
      <w:bodyDiv w:val="1"/>
      <w:marLeft w:val="0"/>
      <w:marRight w:val="0"/>
      <w:marTop w:val="0"/>
      <w:marBottom w:val="0"/>
      <w:divBdr>
        <w:top w:val="none" w:sz="0" w:space="0" w:color="auto"/>
        <w:left w:val="none" w:sz="0" w:space="0" w:color="auto"/>
        <w:bottom w:val="none" w:sz="0" w:space="0" w:color="auto"/>
        <w:right w:val="none" w:sz="0" w:space="0" w:color="auto"/>
      </w:divBdr>
    </w:div>
    <w:div w:id="453330694">
      <w:bodyDiv w:val="1"/>
      <w:marLeft w:val="0"/>
      <w:marRight w:val="0"/>
      <w:marTop w:val="0"/>
      <w:marBottom w:val="0"/>
      <w:divBdr>
        <w:top w:val="none" w:sz="0" w:space="0" w:color="auto"/>
        <w:left w:val="none" w:sz="0" w:space="0" w:color="auto"/>
        <w:bottom w:val="none" w:sz="0" w:space="0" w:color="auto"/>
        <w:right w:val="none" w:sz="0" w:space="0" w:color="auto"/>
      </w:divBdr>
    </w:div>
    <w:div w:id="513105574">
      <w:bodyDiv w:val="1"/>
      <w:marLeft w:val="0"/>
      <w:marRight w:val="0"/>
      <w:marTop w:val="0"/>
      <w:marBottom w:val="0"/>
      <w:divBdr>
        <w:top w:val="none" w:sz="0" w:space="0" w:color="auto"/>
        <w:left w:val="none" w:sz="0" w:space="0" w:color="auto"/>
        <w:bottom w:val="none" w:sz="0" w:space="0" w:color="auto"/>
        <w:right w:val="none" w:sz="0" w:space="0" w:color="auto"/>
      </w:divBdr>
    </w:div>
    <w:div w:id="932127175">
      <w:bodyDiv w:val="1"/>
      <w:marLeft w:val="0"/>
      <w:marRight w:val="0"/>
      <w:marTop w:val="0"/>
      <w:marBottom w:val="0"/>
      <w:divBdr>
        <w:top w:val="none" w:sz="0" w:space="0" w:color="auto"/>
        <w:left w:val="none" w:sz="0" w:space="0" w:color="auto"/>
        <w:bottom w:val="none" w:sz="0" w:space="0" w:color="auto"/>
        <w:right w:val="none" w:sz="0" w:space="0" w:color="auto"/>
      </w:divBdr>
    </w:div>
    <w:div w:id="1285842663">
      <w:bodyDiv w:val="1"/>
      <w:marLeft w:val="0"/>
      <w:marRight w:val="0"/>
      <w:marTop w:val="0"/>
      <w:marBottom w:val="0"/>
      <w:divBdr>
        <w:top w:val="none" w:sz="0" w:space="0" w:color="auto"/>
        <w:left w:val="none" w:sz="0" w:space="0" w:color="auto"/>
        <w:bottom w:val="none" w:sz="0" w:space="0" w:color="auto"/>
        <w:right w:val="none" w:sz="0" w:space="0" w:color="auto"/>
      </w:divBdr>
    </w:div>
    <w:div w:id="1630234527">
      <w:bodyDiv w:val="1"/>
      <w:marLeft w:val="0"/>
      <w:marRight w:val="0"/>
      <w:marTop w:val="0"/>
      <w:marBottom w:val="0"/>
      <w:divBdr>
        <w:top w:val="none" w:sz="0" w:space="0" w:color="auto"/>
        <w:left w:val="none" w:sz="0" w:space="0" w:color="auto"/>
        <w:bottom w:val="none" w:sz="0" w:space="0" w:color="auto"/>
        <w:right w:val="none" w:sz="0" w:space="0" w:color="auto"/>
      </w:divBdr>
    </w:div>
    <w:div w:id="17423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2.census.gov/foia/ds_policies/ds007.pdf" TargetMode="External"/><Relationship Id="rId2" Type="http://schemas.openxmlformats.org/officeDocument/2006/relationships/hyperlink" Target="https://www.pewresearch.org/fact-tank/2019/10/18/most-u-s-adults-intend-to-participate-in-2020-census/" TargetMode="External"/><Relationship Id="rId1" Type="http://schemas.openxmlformats.org/officeDocument/2006/relationships/hyperlink" Target="https://www2.census.gov/programs-surveys/decennial/2020/program-management/final-analysis-reports/2020-report-cbams-study-survey.pdf" TargetMode="External"/><Relationship Id="rId5" Type="http://schemas.openxmlformats.org/officeDocument/2006/relationships/hyperlink" Target="https://www.brennancenter.org/sites/default/files/2019-08/Report_Federal_Laws_Census_Confidentiality.pdf" TargetMode="External"/><Relationship Id="rId4" Type="http://schemas.openxmlformats.org/officeDocument/2006/relationships/hyperlink" Target="https://assets.documentcloud.org/documents/6386176/Census-Bureau-Citizenship-Data-Research-an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Communications%20&amp;%20Strategy\Templates\Letterhead\NYC\BCJ-testimonial_N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365B-A2A1-4753-9C63-2012108E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BCJ-testimonial_NY_template</Template>
  <TotalTime>93</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Percival</dc:creator>
  <cp:keywords/>
  <dc:description/>
  <cp:lastModifiedBy>Kelly Percival</cp:lastModifiedBy>
  <cp:revision>4</cp:revision>
  <cp:lastPrinted>2019-10-28T14:21:00Z</cp:lastPrinted>
  <dcterms:created xsi:type="dcterms:W3CDTF">2019-10-28T16:22:00Z</dcterms:created>
  <dcterms:modified xsi:type="dcterms:W3CDTF">2019-10-28T16:28:00Z</dcterms:modified>
</cp:coreProperties>
</file>